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FB078" w14:textId="0724CB37" w:rsidR="00B24ADC" w:rsidRDefault="00CB7A77" w:rsidP="00CB7A77">
      <w:pPr>
        <w:jc w:val="center"/>
        <w:rPr>
          <w:b/>
          <w:bCs/>
          <w:sz w:val="52"/>
          <w:szCs w:val="52"/>
          <w:lang w:val="en-US"/>
        </w:rPr>
      </w:pPr>
      <w:r w:rsidRPr="00CB7A77">
        <w:rPr>
          <w:b/>
          <w:bCs/>
          <w:sz w:val="52"/>
          <w:szCs w:val="52"/>
          <w:lang w:val="en-US"/>
        </w:rPr>
        <w:t>Trade Idea Template</w:t>
      </w:r>
    </w:p>
    <w:p w14:paraId="7EDAD4C2" w14:textId="558C4F89" w:rsidR="002B6C11" w:rsidRDefault="000F6637" w:rsidP="002B6C11">
      <w:pPr>
        <w:rPr>
          <w:b/>
          <w:bCs/>
          <w:sz w:val="28"/>
          <w:szCs w:val="28"/>
          <w:lang w:val="en-US"/>
        </w:rPr>
      </w:pPr>
      <w:r>
        <w:rPr>
          <w:rFonts w:eastAsiaTheme="minorEastAsia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58240" behindDoc="0" locked="0" layoutInCell="1" allowOverlap="1" wp14:anchorId="30F47CA9" wp14:editId="50C27B7A">
            <wp:simplePos x="0" y="0"/>
            <wp:positionH relativeFrom="margin">
              <wp:align>right</wp:align>
            </wp:positionH>
            <wp:positionV relativeFrom="paragraph">
              <wp:posOffset>946150</wp:posOffset>
            </wp:positionV>
            <wp:extent cx="6645910" cy="251120"/>
            <wp:effectExtent l="0" t="0" r="0" b="0"/>
            <wp:wrapSquare wrapText="bothSides"/>
            <wp:docPr id="15288737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6C11" w:rsidRPr="002B6C11">
        <w:rPr>
          <w:b/>
          <w:bCs/>
          <w:sz w:val="28"/>
          <w:szCs w:val="28"/>
          <w:lang w:val="en-US"/>
        </w:rPr>
        <w:t>Quantitative Analysis</w:t>
      </w:r>
      <w:r w:rsidR="002B6C11">
        <w:rPr>
          <w:b/>
          <w:bCs/>
          <w:sz w:val="28"/>
          <w:szCs w:val="28"/>
          <w:lang w:val="en-US"/>
        </w:rPr>
        <w:t xml:space="preserve"> (Annual)</w:t>
      </w:r>
      <w:r w:rsidR="006F4A36">
        <w:rPr>
          <w:b/>
          <w:bCs/>
          <w:sz w:val="28"/>
          <w:szCs w:val="28"/>
          <w:lang w:val="en-US"/>
        </w:rPr>
        <w:t xml:space="preserve"> - </w:t>
      </w:r>
      <w:r w:rsidR="006F4A36" w:rsidRPr="006F4A36">
        <w:rPr>
          <w:b/>
          <w:bCs/>
          <w:color w:val="0000FF"/>
          <w:sz w:val="28"/>
          <w:szCs w:val="28"/>
          <w:lang w:val="en-US"/>
        </w:rPr>
        <w:t>LONG</w:t>
      </w:r>
      <w:r w:rsidRPr="000F6637">
        <w:rPr>
          <w:rFonts w:eastAsiaTheme="minorEastAsia"/>
          <w:noProof/>
          <w:sz w:val="24"/>
          <w:szCs w:val="24"/>
          <w:lang w:val="en-US" w:eastAsia="zh-CN"/>
        </w:rPr>
        <w:drawing>
          <wp:inline distT="0" distB="0" distL="0" distR="0" wp14:anchorId="5779D54F" wp14:editId="4C504D23">
            <wp:extent cx="6645910" cy="711200"/>
            <wp:effectExtent l="0" t="0" r="2540" b="0"/>
            <wp:docPr id="8097957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79572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43F0" w14:textId="4ADB2E4E" w:rsidR="00DA5D19" w:rsidRPr="000F6637" w:rsidRDefault="00DA5D19" w:rsidP="00CB7A77">
      <w:pPr>
        <w:rPr>
          <w:rFonts w:eastAsiaTheme="minorEastAsia"/>
          <w:sz w:val="24"/>
          <w:szCs w:val="24"/>
          <w:lang w:val="en-US" w:eastAsia="zh-CN"/>
        </w:rPr>
      </w:pPr>
    </w:p>
    <w:tbl>
      <w:tblPr>
        <w:tblW w:w="1055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559"/>
      </w:tblGrid>
      <w:tr w:rsidR="00317C05" w14:paraId="13C1C52F" w14:textId="77777777" w:rsidTr="00317C05">
        <w:trPr>
          <w:trHeight w:val="2565"/>
        </w:trPr>
        <w:tc>
          <w:tcPr>
            <w:tcW w:w="10559" w:type="dxa"/>
          </w:tcPr>
          <w:p w14:paraId="58BDBB4E" w14:textId="61F2BB30" w:rsidR="00317C05" w:rsidRDefault="00317C05" w:rsidP="00CB7A77">
            <w:pPr>
              <w:rPr>
                <w:b/>
                <w:bCs/>
                <w:sz w:val="24"/>
                <w:szCs w:val="24"/>
                <w:u w:val="single"/>
                <w:lang w:val="en-US"/>
              </w:rPr>
            </w:pPr>
            <w:r w:rsidRPr="00317C05">
              <w:rPr>
                <w:b/>
                <w:bCs/>
                <w:sz w:val="24"/>
                <w:szCs w:val="24"/>
                <w:u w:val="single"/>
                <w:lang w:val="en-US"/>
              </w:rPr>
              <w:t xml:space="preserve">Comments on </w:t>
            </w:r>
            <w:r w:rsidR="0030741C" w:rsidRPr="00317C05">
              <w:rPr>
                <w:b/>
                <w:bCs/>
                <w:sz w:val="24"/>
                <w:szCs w:val="24"/>
                <w:u w:val="single"/>
                <w:lang w:val="en-US"/>
              </w:rPr>
              <w:t>Quantitative Analysis</w:t>
            </w:r>
            <w:r w:rsidR="0030741C">
              <w:rPr>
                <w:b/>
                <w:bCs/>
                <w:sz w:val="24"/>
                <w:szCs w:val="24"/>
                <w:u w:val="single"/>
                <w:lang w:val="en-US"/>
              </w:rPr>
              <w:t xml:space="preserve"> Sector Comparison</w:t>
            </w:r>
          </w:p>
          <w:p w14:paraId="32398DBC" w14:textId="18BEC0F8" w:rsidR="00EA1C29" w:rsidRDefault="00EA1C29" w:rsidP="000F6637">
            <w:pPr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 w:hint="eastAsia"/>
                <w:lang w:val="en-US" w:eastAsia="zh-CN"/>
              </w:rPr>
              <w:t xml:space="preserve">YOY Growth </w:t>
            </w:r>
            <w:r>
              <w:rPr>
                <w:rFonts w:eastAsiaTheme="minorEastAsia"/>
                <w:lang w:val="en-US" w:eastAsia="zh-CN"/>
              </w:rPr>
              <w:t xml:space="preserve">of </w:t>
            </w:r>
            <w:r>
              <w:rPr>
                <w:rFonts w:eastAsiaTheme="minorEastAsia" w:hint="eastAsia"/>
                <w:lang w:val="en-US" w:eastAsia="zh-CN"/>
              </w:rPr>
              <w:t xml:space="preserve">7.3% and 11.8% in two related </w:t>
            </w:r>
            <w:r>
              <w:rPr>
                <w:rFonts w:eastAsiaTheme="minorEastAsia"/>
                <w:lang w:val="en-US" w:eastAsia="zh-CN"/>
              </w:rPr>
              <w:t>industries</w:t>
            </w:r>
            <w:r>
              <w:rPr>
                <w:rFonts w:eastAsiaTheme="minorEastAsia" w:hint="eastAsia"/>
                <w:lang w:val="en-US" w:eastAsia="zh-CN"/>
              </w:rPr>
              <w:t>, with positive MOM growth in two consecutive months in 2024.</w:t>
            </w:r>
          </w:p>
          <w:p w14:paraId="05A85E4E" w14:textId="77777777" w:rsidR="00BD28A6" w:rsidRDefault="00BD28A6" w:rsidP="00BD28A6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>
              <w:rPr>
                <w:rFonts w:eastAsiaTheme="minorEastAsia"/>
                <w:noProof/>
                <w:sz w:val="24"/>
                <w:szCs w:val="24"/>
                <w:lang w:val="en-US" w:eastAsia="zh-CN"/>
              </w:rPr>
              <w:drawing>
                <wp:inline distT="0" distB="0" distL="0" distR="0" wp14:anchorId="5916AE40" wp14:editId="5627C103">
                  <wp:extent cx="6196647" cy="1754561"/>
                  <wp:effectExtent l="0" t="0" r="0" b="0"/>
                  <wp:docPr id="34701639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961" cy="1758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736914E" w14:textId="77777777" w:rsidR="00BD28A6" w:rsidRDefault="00BD28A6" w:rsidP="00BD28A6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 xml:space="preserve">Above Sector Average Growth in FY2024 and FY2025, after excluding sector outlier (BA). </w:t>
            </w:r>
          </w:p>
          <w:p w14:paraId="7371354D" w14:textId="77777777" w:rsidR="00BD28A6" w:rsidRDefault="00BD28A6" w:rsidP="00BD28A6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>Approximate Growth in 2024 and 2025</w:t>
            </w:r>
          </w:p>
          <w:p w14:paraId="6C20ABF9" w14:textId="77777777" w:rsidR="00BD28A6" w:rsidRDefault="00BD28A6" w:rsidP="000F6637">
            <w:pPr>
              <w:rPr>
                <w:rFonts w:eastAsiaTheme="minorEastAsia"/>
                <w:lang w:val="en-US" w:eastAsia="zh-CN"/>
              </w:rPr>
            </w:pPr>
          </w:p>
          <w:p w14:paraId="5EEBD533" w14:textId="48A0E99E" w:rsidR="00EA1C29" w:rsidRPr="00EA1C29" w:rsidRDefault="00EA1C29" w:rsidP="000F6637">
            <w:pPr>
              <w:rPr>
                <w:rFonts w:eastAsiaTheme="minorEastAsia"/>
                <w:b/>
                <w:bCs/>
                <w:sz w:val="24"/>
                <w:szCs w:val="24"/>
                <w:u w:val="single"/>
                <w:lang w:val="en-US" w:eastAsia="zh-CN"/>
              </w:rPr>
            </w:pPr>
            <w:r w:rsidRPr="00317C05">
              <w:rPr>
                <w:b/>
                <w:bCs/>
                <w:sz w:val="24"/>
                <w:szCs w:val="24"/>
                <w:u w:val="single"/>
                <w:lang w:val="en-US"/>
              </w:rPr>
              <w:t xml:space="preserve">Comments on </w:t>
            </w:r>
            <w:r w:rsidR="00D674C5">
              <w:rPr>
                <w:b/>
                <w:bCs/>
                <w:sz w:val="24"/>
                <w:szCs w:val="24"/>
                <w:u w:val="single"/>
                <w:lang w:val="en-US"/>
              </w:rPr>
              <w:t>Qualitative</w:t>
            </w:r>
            <w:r w:rsidRPr="00317C05">
              <w:rPr>
                <w:b/>
                <w:bCs/>
                <w:sz w:val="24"/>
                <w:szCs w:val="24"/>
                <w:u w:val="single"/>
                <w:lang w:val="en-US"/>
              </w:rPr>
              <w:t xml:space="preserve"> Analysis</w:t>
            </w:r>
            <w:r>
              <w:rPr>
                <w:b/>
                <w:bCs/>
                <w:sz w:val="24"/>
                <w:szCs w:val="24"/>
                <w:u w:val="single"/>
                <w:lang w:val="en-US"/>
              </w:rPr>
              <w:t xml:space="preserve"> Sector Comparison</w:t>
            </w:r>
          </w:p>
          <w:p w14:paraId="2858DB34" w14:textId="185062D2" w:rsidR="007B3A54" w:rsidRDefault="008B301C" w:rsidP="000F6637">
            <w:pPr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/>
                <w:lang w:val="en-US" w:eastAsia="zh-CN"/>
              </w:rPr>
              <w:t>“</w:t>
            </w:r>
            <w:r w:rsidRPr="008B301C">
              <w:rPr>
                <w:rFonts w:eastAsiaTheme="minorEastAsia"/>
                <w:lang w:val="en-US" w:eastAsia="zh-CN"/>
              </w:rPr>
              <w:t>For the first time since the 1960s, the defining problem isn’t inadequate demand, but inadequate supply. Output is now determined by production limits, not market needs.</w:t>
            </w:r>
            <w:r>
              <w:rPr>
                <w:rFonts w:eastAsiaTheme="minorEastAsia"/>
                <w:lang w:val="en-US" w:eastAsia="zh-CN"/>
              </w:rPr>
              <w:t>”</w:t>
            </w:r>
          </w:p>
          <w:p w14:paraId="3ADA46E1" w14:textId="38149DA1" w:rsidR="00EA1C29" w:rsidRDefault="00EA1C29" w:rsidP="000F6637">
            <w:pPr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/>
                <w:lang w:val="en-US" w:eastAsia="zh-CN"/>
              </w:rPr>
              <w:t>“</w:t>
            </w:r>
            <w:r w:rsidRPr="00EA1C29">
              <w:rPr>
                <w:rFonts w:eastAsiaTheme="minorEastAsia"/>
                <w:lang w:val="en-US" w:eastAsia="zh-CN"/>
              </w:rPr>
              <w:t>For commercial aircraft, with airlines and other customers eagerly awaiting jets they can’t get, and travel demand remaining solid, it’ll be at least 2-to-3 years before we need to worry about the usual market indicators.</w:t>
            </w:r>
            <w:r>
              <w:rPr>
                <w:rFonts w:eastAsiaTheme="minorEastAsia"/>
                <w:lang w:val="en-US" w:eastAsia="zh-CN"/>
              </w:rPr>
              <w:t>”</w:t>
            </w:r>
          </w:p>
          <w:p w14:paraId="55480DB9" w14:textId="77777777" w:rsidR="00EA1C29" w:rsidRDefault="00000000" w:rsidP="000F6637">
            <w:pPr>
              <w:rPr>
                <w:rFonts w:eastAsiaTheme="minorEastAsia"/>
                <w:lang w:eastAsia="zh-CN"/>
              </w:rPr>
            </w:pPr>
            <w:hyperlink r:id="rId10" w:history="1">
              <w:r w:rsidR="00EA1C29">
                <w:rPr>
                  <w:rStyle w:val="a3"/>
                </w:rPr>
                <w:t>2024 Forecast - Aerospace Manufacturing and Design</w:t>
              </w:r>
            </w:hyperlink>
          </w:p>
          <w:p w14:paraId="124FA035" w14:textId="738545A5" w:rsidR="00BD28A6" w:rsidRPr="00BD28A6" w:rsidRDefault="00BD28A6" w:rsidP="00BD28A6">
            <w:pPr>
              <w:rPr>
                <w:rFonts w:eastAsiaTheme="minorEastAsia"/>
                <w:lang w:val="en-US" w:eastAsia="zh-CN"/>
              </w:rPr>
            </w:pPr>
          </w:p>
        </w:tc>
      </w:tr>
    </w:tbl>
    <w:p w14:paraId="61036DED" w14:textId="77777777" w:rsidR="00EA1C29" w:rsidRPr="00EA1C29" w:rsidRDefault="00EA1C29" w:rsidP="00CB7A77">
      <w:pPr>
        <w:rPr>
          <w:rFonts w:eastAsiaTheme="minorEastAsia"/>
          <w:sz w:val="24"/>
          <w:szCs w:val="24"/>
          <w:lang w:eastAsia="zh-CN"/>
        </w:rPr>
      </w:pPr>
    </w:p>
    <w:tbl>
      <w:tblPr>
        <w:tblW w:w="10856" w:type="dxa"/>
        <w:tblInd w:w="-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56"/>
      </w:tblGrid>
      <w:tr w:rsidR="00317C05" w14:paraId="35DDF4B1" w14:textId="77777777" w:rsidTr="00C1546A">
        <w:trPr>
          <w:trHeight w:val="1099"/>
        </w:trPr>
        <w:tc>
          <w:tcPr>
            <w:tcW w:w="10856" w:type="dxa"/>
          </w:tcPr>
          <w:p w14:paraId="5DC7FB3E" w14:textId="77777777" w:rsidR="005C224F" w:rsidRDefault="00317C05" w:rsidP="00112851">
            <w:pPr>
              <w:rPr>
                <w:rFonts w:eastAsiaTheme="minorEastAsia"/>
                <w:b/>
                <w:bCs/>
                <w:sz w:val="24"/>
                <w:szCs w:val="24"/>
                <w:u w:val="single"/>
                <w:lang w:val="en-US" w:eastAsia="zh-CN"/>
              </w:rPr>
            </w:pPr>
            <w:r w:rsidRPr="00317C05">
              <w:rPr>
                <w:b/>
                <w:bCs/>
                <w:sz w:val="24"/>
                <w:szCs w:val="24"/>
                <w:u w:val="single"/>
                <w:lang w:val="en-US"/>
              </w:rPr>
              <w:t xml:space="preserve">Comments on </w:t>
            </w:r>
            <w:r w:rsidR="0030741C" w:rsidRPr="00317C05">
              <w:rPr>
                <w:b/>
                <w:bCs/>
                <w:sz w:val="24"/>
                <w:szCs w:val="24"/>
                <w:u w:val="single"/>
                <w:lang w:val="en-US"/>
              </w:rPr>
              <w:t xml:space="preserve">Annual Quantitative Analysis </w:t>
            </w:r>
          </w:p>
          <w:p w14:paraId="6AC46500" w14:textId="3BD33CD2" w:rsidR="00F037D1" w:rsidRDefault="00F037D1" w:rsidP="00112851">
            <w:pPr>
              <w:rPr>
                <w:rFonts w:eastAsiaTheme="minor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eastAsiaTheme="minorEastAsia" w:hint="eastAsia"/>
                <w:b/>
                <w:bCs/>
                <w:sz w:val="24"/>
                <w:szCs w:val="24"/>
                <w:lang w:val="en-US" w:eastAsia="zh-CN"/>
              </w:rPr>
              <w:t>Sales:</w:t>
            </w:r>
          </w:p>
          <w:p w14:paraId="3AF71245" w14:textId="1D630D4F" w:rsidR="00F037D1" w:rsidRDefault="00F037D1" w:rsidP="00112851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>FTG:</w:t>
            </w:r>
            <w:r w:rsidR="00A34F96">
              <w:rPr>
                <w:rFonts w:eastAsiaTheme="minorEastAsia" w:hint="eastAsia"/>
                <w:sz w:val="24"/>
                <w:szCs w:val="24"/>
                <w:lang w:val="en-US" w:eastAsia="zh-CN"/>
              </w:rPr>
              <w:t xml:space="preserve"> (approximately 60% </w:t>
            </w:r>
            <w:r w:rsidR="00B34493">
              <w:rPr>
                <w:rFonts w:eastAsiaTheme="minorEastAsia" w:hint="eastAsia"/>
                <w:sz w:val="24"/>
                <w:szCs w:val="24"/>
                <w:lang w:val="en-US" w:eastAsia="zh-CN"/>
              </w:rPr>
              <w:t xml:space="preserve">-70% </w:t>
            </w:r>
            <w:r w:rsidR="00A34F96">
              <w:rPr>
                <w:rFonts w:eastAsiaTheme="minorEastAsia" w:hint="eastAsia"/>
                <w:sz w:val="24"/>
                <w:szCs w:val="24"/>
                <w:lang w:val="en-US" w:eastAsia="zh-CN"/>
              </w:rPr>
              <w:t>of sales</w:t>
            </w:r>
            <w:r w:rsidR="00B34493">
              <w:rPr>
                <w:rFonts w:eastAsiaTheme="minorEastAsia" w:hint="eastAsia"/>
                <w:sz w:val="24"/>
                <w:szCs w:val="24"/>
                <w:lang w:val="en-US" w:eastAsia="zh-CN"/>
              </w:rPr>
              <w:t>, 44.36% sales growth in Q1</w:t>
            </w:r>
            <w:r w:rsidR="00A34F96">
              <w:rPr>
                <w:rFonts w:eastAsiaTheme="minorEastAsia" w:hint="eastAsia"/>
                <w:sz w:val="24"/>
                <w:szCs w:val="24"/>
                <w:lang w:val="en-US" w:eastAsia="zh-CN"/>
              </w:rPr>
              <w:t>)</w:t>
            </w:r>
          </w:p>
          <w:p w14:paraId="57EEBAC4" w14:textId="7361286C" w:rsidR="00F037D1" w:rsidRDefault="00F037D1" w:rsidP="00112851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>Driven by 1. Acquisition of Wensor (12%, continues to grow above expectation)</w:t>
            </w:r>
          </w:p>
          <w:p w14:paraId="6071C035" w14:textId="66921DE8" w:rsidR="00B34493" w:rsidRDefault="00F037D1" w:rsidP="00112851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 xml:space="preserve">                  2. High teens organic sales growth in both</w:t>
            </w:r>
            <w:r w:rsidRPr="00F037D1">
              <w:rPr>
                <w:rFonts w:eastAsiaTheme="minorEastAsia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eastAsiaTheme="minorEastAsia"/>
                <w:sz w:val="24"/>
                <w:szCs w:val="24"/>
                <w:lang w:val="en-US" w:eastAsia="zh-CN"/>
              </w:rPr>
              <w:t>“</w:t>
            </w:r>
            <w:r w:rsidRPr="00F037D1">
              <w:rPr>
                <w:rFonts w:eastAsiaTheme="minorEastAsia"/>
                <w:sz w:val="24"/>
                <w:szCs w:val="24"/>
                <w:lang w:val="en-US" w:eastAsia="zh-CN"/>
              </w:rPr>
              <w:t>Aftermarket Replacement Parts</w:t>
            </w:r>
            <w:r>
              <w:rPr>
                <w:rFonts w:eastAsiaTheme="minorEastAsia"/>
                <w:sz w:val="24"/>
                <w:szCs w:val="24"/>
                <w:lang w:val="en-US" w:eastAsia="zh-CN"/>
              </w:rPr>
              <w:t>”</w:t>
            </w: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 xml:space="preserve"> &amp; </w:t>
            </w:r>
            <w:r>
              <w:rPr>
                <w:rFonts w:eastAsiaTheme="minorEastAsia"/>
                <w:sz w:val="24"/>
                <w:szCs w:val="24"/>
                <w:lang w:val="en-US" w:eastAsia="zh-CN"/>
              </w:rPr>
              <w:t>“</w:t>
            </w:r>
            <w:r w:rsidRPr="00F037D1">
              <w:rPr>
                <w:rFonts w:eastAsiaTheme="minorEastAsia"/>
                <w:sz w:val="24"/>
                <w:szCs w:val="24"/>
                <w:lang w:val="en-US" w:eastAsia="zh-CN"/>
              </w:rPr>
              <w:t>repair and overhaul parts and services product</w:t>
            </w:r>
            <w:r>
              <w:rPr>
                <w:rFonts w:eastAsiaTheme="minorEastAsia"/>
                <w:sz w:val="24"/>
                <w:szCs w:val="24"/>
                <w:lang w:val="en-US" w:eastAsia="zh-CN"/>
              </w:rPr>
              <w:t>”</w:t>
            </w: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>.</w:t>
            </w:r>
            <w:r w:rsidR="00B34493">
              <w:rPr>
                <w:rFonts w:eastAsiaTheme="minorEastAsia" w:hint="eastAsia"/>
                <w:sz w:val="24"/>
                <w:szCs w:val="24"/>
                <w:lang w:val="en-US" w:eastAsia="zh-CN"/>
              </w:rPr>
              <w:t xml:space="preserve"> (Demand Driven</w:t>
            </w:r>
            <w:r w:rsidR="001B1F5A">
              <w:rPr>
                <w:rFonts w:eastAsiaTheme="minorEastAsia" w:hint="eastAsia"/>
                <w:sz w:val="24"/>
                <w:szCs w:val="24"/>
                <w:lang w:val="en-US" w:eastAsia="zh-CN"/>
              </w:rPr>
              <w:t>, beneficial to Gross Margin according to FY23</w:t>
            </w:r>
            <w:r w:rsidR="00B34493">
              <w:rPr>
                <w:rFonts w:eastAsiaTheme="minorEastAsia" w:hint="eastAsia"/>
                <w:sz w:val="24"/>
                <w:szCs w:val="24"/>
                <w:lang w:val="en-US" w:eastAsia="zh-CN"/>
              </w:rPr>
              <w:t>)</w:t>
            </w:r>
          </w:p>
          <w:p w14:paraId="7BB32AAE" w14:textId="1C8AACFC" w:rsidR="00B34493" w:rsidRPr="00F037D1" w:rsidRDefault="00B34493" w:rsidP="00112851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>ETG: (12% sales growth in Q1)</w:t>
            </w:r>
          </w:p>
          <w:p w14:paraId="311E53FE" w14:textId="1163EE77" w:rsidR="00F037D1" w:rsidRDefault="00B34493" w:rsidP="00112851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lastRenderedPageBreak/>
              <w:t>Driven by 1. Acquisition in FY2023</w:t>
            </w:r>
          </w:p>
          <w:p w14:paraId="7C39A754" w14:textId="52EAE5D3" w:rsidR="00B34493" w:rsidRDefault="00B34493" w:rsidP="00112851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 xml:space="preserve">                  2. Double-Digit Growth in Aerospace Products</w:t>
            </w:r>
            <w:r w:rsidR="001B1F5A">
              <w:rPr>
                <w:rFonts w:eastAsiaTheme="minorEastAsia" w:hint="eastAsia"/>
                <w:sz w:val="24"/>
                <w:szCs w:val="24"/>
                <w:lang w:val="en-US" w:eastAsia="zh-CN"/>
              </w:rPr>
              <w:t xml:space="preserve"> (beneficial to Gross Margin, according to FY23)</w:t>
            </w:r>
          </w:p>
          <w:p w14:paraId="3396620A" w14:textId="4B0EFA1A" w:rsidR="001B1F5A" w:rsidRPr="00B34493" w:rsidRDefault="001B1F5A" w:rsidP="00112851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>Offset by 1. O</w:t>
            </w:r>
            <w:r w:rsidRPr="001B1F5A">
              <w:rPr>
                <w:rFonts w:eastAsiaTheme="minorEastAsia"/>
                <w:sz w:val="24"/>
                <w:szCs w:val="24"/>
                <w:lang w:val="en-US" w:eastAsia="zh-CN"/>
              </w:rPr>
              <w:t>ther electronics, medical and space products</w:t>
            </w: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 xml:space="preserve"> (No major effect on Margins)</w:t>
            </w:r>
          </w:p>
          <w:p w14:paraId="474DB807" w14:textId="401EE565" w:rsidR="00F037D1" w:rsidRPr="001B1F5A" w:rsidRDefault="001B1F5A" w:rsidP="00112851">
            <w:pPr>
              <w:rPr>
                <w:rFonts w:eastAsiaTheme="minorEastAsia"/>
                <w:b/>
                <w:bCs/>
                <w:sz w:val="24"/>
                <w:szCs w:val="24"/>
                <w:lang w:val="en-US" w:eastAsia="zh-CN"/>
              </w:rPr>
            </w:pPr>
            <w:r w:rsidRPr="001B1F5A">
              <w:rPr>
                <w:rFonts w:eastAsiaTheme="minorEastAsia" w:hint="eastAsia"/>
                <w:b/>
                <w:bCs/>
                <w:sz w:val="24"/>
                <w:szCs w:val="24"/>
                <w:lang w:val="en-US" w:eastAsia="zh-CN"/>
              </w:rPr>
              <w:t>Margin</w:t>
            </w:r>
            <w:r>
              <w:rPr>
                <w:rFonts w:eastAsiaTheme="minorEastAsia" w:hint="eastAsia"/>
                <w:b/>
                <w:bCs/>
                <w:sz w:val="24"/>
                <w:szCs w:val="24"/>
                <w:lang w:val="en-US" w:eastAsia="zh-CN"/>
              </w:rPr>
              <w:t>:</w:t>
            </w:r>
          </w:p>
          <w:p w14:paraId="1312062C" w14:textId="0DC2C470" w:rsidR="00A6438B" w:rsidRDefault="000B62CA" w:rsidP="00BD28A6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>Gross Profit Margin decreased from 39.07% to 38.86%, due to decrease in net sales of defense products in FY 2023 in the ETG group.</w:t>
            </w:r>
            <w:r w:rsidR="00803F45">
              <w:rPr>
                <w:rFonts w:eastAsiaTheme="minorEastAsia" w:hint="eastAsia"/>
                <w:sz w:val="24"/>
                <w:szCs w:val="24"/>
                <w:lang w:val="en-US" w:eastAsia="zh-CN"/>
              </w:rPr>
              <w:t xml:space="preserve"> (solved)</w:t>
            </w:r>
            <w:r w:rsidR="004D1AEA">
              <w:rPr>
                <w:rFonts w:eastAsiaTheme="minorEastAsia" w:hint="eastAsia"/>
                <w:sz w:val="24"/>
                <w:szCs w:val="24"/>
                <w:lang w:val="en-US" w:eastAsia="zh-CN"/>
              </w:rPr>
              <w:t xml:space="preserve"> FTC group 1.7% improvement in Gross Margin</w:t>
            </w:r>
          </w:p>
          <w:p w14:paraId="1BAEA104" w14:textId="0D842730" w:rsidR="00803F45" w:rsidRDefault="00803F45" w:rsidP="00803F45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>Gross Profit Margin in Q1 2024 lower than Q1 2023 due to expected acquisition Wencor</w:t>
            </w:r>
            <w:r w:rsidR="004D1AEA">
              <w:rPr>
                <w:rFonts w:eastAsiaTheme="minorEastAsia" w:hint="eastAsia"/>
                <w:sz w:val="24"/>
                <w:szCs w:val="24"/>
                <w:lang w:val="en-US" w:eastAsia="zh-CN"/>
              </w:rPr>
              <w:t xml:space="preserve"> (True Margin- 23.5%, compared to 22.2% in Q1 FY23)</w:t>
            </w:r>
          </w:p>
          <w:p w14:paraId="09E87112" w14:textId="1A7865C2" w:rsidR="00803F45" w:rsidRDefault="00803F45" w:rsidP="00803F45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>--Expect Operating Margin before acquisition to be higher than FY 2022 level (23%), 21%-22% after.</w:t>
            </w:r>
          </w:p>
          <w:p w14:paraId="6C6B3180" w14:textId="77777777" w:rsidR="000B62CA" w:rsidRDefault="00803F45" w:rsidP="00BD28A6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 xml:space="preserve">--Expect </w:t>
            </w:r>
            <w:r w:rsidR="004D1AEA">
              <w:rPr>
                <w:rFonts w:eastAsiaTheme="minorEastAsia" w:hint="eastAsia"/>
                <w:sz w:val="24"/>
                <w:szCs w:val="24"/>
                <w:lang w:val="en-US" w:eastAsia="zh-CN"/>
              </w:rPr>
              <w:t>Margins, before and after amortization, to improve in the quarters ahead</w:t>
            </w:r>
          </w:p>
          <w:p w14:paraId="1DF70A89" w14:textId="749324C4" w:rsidR="004D1AEA" w:rsidRPr="001B1F5A" w:rsidRDefault="001B1F5A" w:rsidP="00BD28A6">
            <w:pPr>
              <w:rPr>
                <w:rFonts w:eastAsiaTheme="minorEastAsia"/>
                <w:b/>
                <w:bCs/>
                <w:sz w:val="24"/>
                <w:szCs w:val="24"/>
                <w:lang w:val="en-US" w:eastAsia="zh-CN"/>
              </w:rPr>
            </w:pPr>
            <w:r w:rsidRPr="001B1F5A">
              <w:rPr>
                <w:rFonts w:eastAsiaTheme="minorEastAsia" w:hint="eastAsia"/>
                <w:b/>
                <w:bCs/>
                <w:sz w:val="24"/>
                <w:szCs w:val="24"/>
                <w:lang w:val="en-US" w:eastAsia="zh-CN"/>
              </w:rPr>
              <w:t>Net Income:</w:t>
            </w:r>
          </w:p>
          <w:p w14:paraId="561477C6" w14:textId="77777777" w:rsidR="004D1AEA" w:rsidRDefault="004D1AEA" w:rsidP="00BD28A6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>Expect 15%-20% Net Income Growth in FY2024, 10yr CAGR has been 14.29%</w:t>
            </w:r>
          </w:p>
          <w:p w14:paraId="441D771B" w14:textId="77777777" w:rsidR="004D1AEA" w:rsidRDefault="001B1F5A" w:rsidP="00BD28A6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>(No Guidance)</w:t>
            </w:r>
          </w:p>
          <w:p w14:paraId="63F62E03" w14:textId="44B8E44E" w:rsidR="00C1546A" w:rsidRDefault="00C1546A" w:rsidP="00BD28A6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>
              <w:rPr>
                <w:rFonts w:eastAsiaTheme="minorEastAsia"/>
                <w:sz w:val="24"/>
                <w:szCs w:val="24"/>
                <w:lang w:val="en-US" w:eastAsia="zh-CN"/>
              </w:rPr>
              <w:object w:dxaOrig="1490" w:dyaOrig="1006" w14:anchorId="134AE1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5pt;height:50.3pt" o:ole="">
                  <v:imagedata r:id="rId11" o:title=""/>
                </v:shape>
                <o:OLEObject Type="Link" ProgID="Excel.Sheet.12" ShapeID="_x0000_i1025" DrawAspect="Icon" r:id="rId12" UpdateMode="Always">
                  <o:LinkType>EnhancedMetaFile</o:LinkType>
                  <o:LockedField>false</o:LockedField>
                  <o:FieldCodes>\f 0</o:FieldCodes>
                </o:OLEObject>
              </w:object>
            </w:r>
          </w:p>
          <w:p w14:paraId="3AACECB8" w14:textId="51584DFE" w:rsidR="001B1F5A" w:rsidRDefault="001B1F5A" w:rsidP="00BD28A6">
            <w:pPr>
              <w:rPr>
                <w:rFonts w:eastAsiaTheme="minorEastAsia"/>
                <w:b/>
                <w:bCs/>
                <w:sz w:val="24"/>
                <w:szCs w:val="24"/>
                <w:lang w:val="en-US" w:eastAsia="zh-CN"/>
              </w:rPr>
            </w:pPr>
            <w:r w:rsidRPr="001B1F5A">
              <w:rPr>
                <w:rFonts w:eastAsiaTheme="minorEastAsia" w:hint="eastAsia"/>
                <w:b/>
                <w:bCs/>
                <w:sz w:val="24"/>
                <w:szCs w:val="24"/>
                <w:lang w:val="en-US" w:eastAsia="zh-CN"/>
              </w:rPr>
              <w:t>Analyst Estimate</w:t>
            </w:r>
            <w:r>
              <w:rPr>
                <w:rFonts w:eastAsiaTheme="minorEastAsia" w:hint="eastAsia"/>
                <w:b/>
                <w:bCs/>
                <w:sz w:val="24"/>
                <w:szCs w:val="24"/>
                <w:lang w:val="en-US" w:eastAsia="zh-CN"/>
              </w:rPr>
              <w:t>:</w:t>
            </w:r>
          </w:p>
          <w:p w14:paraId="17612CD9" w14:textId="037C9EA7" w:rsidR="001B1F5A" w:rsidRDefault="001B1F5A" w:rsidP="00BD28A6">
            <w:pPr>
              <w:rPr>
                <w:rFonts w:eastAsiaTheme="minorEastAsia"/>
                <w:b/>
                <w:bCs/>
                <w:sz w:val="24"/>
                <w:szCs w:val="24"/>
                <w:lang w:val="en-US" w:eastAsia="zh-CN"/>
              </w:rPr>
            </w:pPr>
            <w:r w:rsidRPr="001B1F5A">
              <w:rPr>
                <w:rFonts w:eastAsiaTheme="minorEastAsia"/>
                <w:b/>
                <w:bCs/>
                <w:noProof/>
                <w:sz w:val="24"/>
                <w:szCs w:val="24"/>
                <w:lang w:val="en-US" w:eastAsia="zh-CN"/>
              </w:rPr>
              <w:drawing>
                <wp:inline distT="0" distB="0" distL="0" distR="0" wp14:anchorId="5EDF1DE5" wp14:editId="308AC0FF">
                  <wp:extent cx="6645910" cy="663575"/>
                  <wp:effectExtent l="0" t="0" r="2540" b="3175"/>
                  <wp:docPr id="3412127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21273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66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3CB032" w14:textId="3457944D" w:rsidR="001B1F5A" w:rsidRDefault="001B1F5A" w:rsidP="00BD28A6">
            <w:pPr>
              <w:rPr>
                <w:rFonts w:eastAsiaTheme="minorEastAsia"/>
                <w:b/>
                <w:bCs/>
                <w:sz w:val="24"/>
                <w:szCs w:val="24"/>
                <w:lang w:val="en-US" w:eastAsia="zh-CN"/>
              </w:rPr>
            </w:pPr>
            <w:r w:rsidRPr="001B1F5A">
              <w:rPr>
                <w:rFonts w:eastAsiaTheme="minorEastAsia"/>
                <w:b/>
                <w:bCs/>
                <w:noProof/>
                <w:sz w:val="24"/>
                <w:szCs w:val="24"/>
                <w:lang w:val="en-US" w:eastAsia="zh-CN"/>
              </w:rPr>
              <w:drawing>
                <wp:inline distT="0" distB="0" distL="0" distR="0" wp14:anchorId="1EE12724" wp14:editId="3EA74966">
                  <wp:extent cx="6645910" cy="563245"/>
                  <wp:effectExtent l="0" t="0" r="2540" b="8255"/>
                  <wp:docPr id="7944641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46418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56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16A8BD" w14:textId="3AED540E" w:rsidR="004C3BBC" w:rsidRDefault="004C3BBC" w:rsidP="00BD28A6">
            <w:pPr>
              <w:rPr>
                <w:rFonts w:eastAsiaTheme="minorEastAsia"/>
                <w:b/>
                <w:bCs/>
                <w:sz w:val="24"/>
                <w:szCs w:val="24"/>
                <w:lang w:val="en-US" w:eastAsia="zh-CN"/>
              </w:rPr>
            </w:pPr>
            <w:r w:rsidRPr="004C3BBC">
              <w:rPr>
                <w:rFonts w:eastAsiaTheme="minorEastAsia"/>
                <w:b/>
                <w:bCs/>
                <w:noProof/>
                <w:sz w:val="24"/>
                <w:szCs w:val="24"/>
                <w:lang w:val="en-US" w:eastAsia="zh-CN"/>
              </w:rPr>
              <w:drawing>
                <wp:inline distT="0" distB="0" distL="0" distR="0" wp14:anchorId="3DBE69AA" wp14:editId="4CE86AA9">
                  <wp:extent cx="6645910" cy="236220"/>
                  <wp:effectExtent l="0" t="0" r="2540" b="0"/>
                  <wp:docPr id="158414805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148054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BE2EB7" w14:textId="362FC915" w:rsidR="001B1F5A" w:rsidRDefault="001B1F5A" w:rsidP="00BD28A6">
            <w:pPr>
              <w:rPr>
                <w:rFonts w:eastAsiaTheme="minorEastAsia"/>
                <w:b/>
                <w:bCs/>
                <w:sz w:val="24"/>
                <w:szCs w:val="24"/>
                <w:lang w:val="en-US" w:eastAsia="zh-CN"/>
              </w:rPr>
            </w:pPr>
            <w:r w:rsidRPr="001B1F5A">
              <w:rPr>
                <w:rFonts w:eastAsiaTheme="minorEastAsia"/>
                <w:b/>
                <w:bCs/>
                <w:noProof/>
                <w:sz w:val="24"/>
                <w:szCs w:val="24"/>
                <w:lang w:val="en-US" w:eastAsia="zh-CN"/>
              </w:rPr>
              <w:drawing>
                <wp:inline distT="0" distB="0" distL="0" distR="0" wp14:anchorId="6241F7CE" wp14:editId="17CC7720">
                  <wp:extent cx="6645910" cy="574040"/>
                  <wp:effectExtent l="0" t="0" r="2540" b="0"/>
                  <wp:docPr id="182195379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195379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57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D8A874" w14:textId="36503AF1" w:rsidR="001B1F5A" w:rsidRDefault="001B1F5A" w:rsidP="00BD28A6">
            <w:pPr>
              <w:rPr>
                <w:rFonts w:eastAsiaTheme="minorEastAsia"/>
                <w:b/>
                <w:bCs/>
                <w:sz w:val="24"/>
                <w:szCs w:val="24"/>
                <w:lang w:val="en-US" w:eastAsia="zh-CN"/>
              </w:rPr>
            </w:pPr>
            <w:r w:rsidRPr="001B1F5A">
              <w:rPr>
                <w:rFonts w:eastAsiaTheme="minorEastAsia"/>
                <w:b/>
                <w:bCs/>
                <w:noProof/>
                <w:sz w:val="24"/>
                <w:szCs w:val="24"/>
                <w:lang w:val="en-US" w:eastAsia="zh-CN"/>
              </w:rPr>
              <w:drawing>
                <wp:inline distT="0" distB="0" distL="0" distR="0" wp14:anchorId="3EF20C2A" wp14:editId="66C96E36">
                  <wp:extent cx="6645910" cy="577215"/>
                  <wp:effectExtent l="0" t="0" r="2540" b="0"/>
                  <wp:docPr id="17969542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954226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57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644CAA" w14:textId="7A7221A3" w:rsidR="001B1F5A" w:rsidRPr="001B1F5A" w:rsidRDefault="001B1F5A" w:rsidP="00BD28A6">
            <w:pPr>
              <w:rPr>
                <w:rFonts w:eastAsiaTheme="minorEastAsia"/>
                <w:b/>
                <w:bCs/>
                <w:sz w:val="24"/>
                <w:szCs w:val="24"/>
                <w:lang w:val="en-US" w:eastAsia="zh-CN"/>
              </w:rPr>
            </w:pPr>
          </w:p>
        </w:tc>
      </w:tr>
      <w:tr w:rsidR="00D27FAC" w14:paraId="00808769" w14:textId="77777777" w:rsidTr="00C1546A">
        <w:trPr>
          <w:trHeight w:val="721"/>
        </w:trPr>
        <w:tc>
          <w:tcPr>
            <w:tcW w:w="10856" w:type="dxa"/>
          </w:tcPr>
          <w:p w14:paraId="206A272E" w14:textId="32C7E4CD" w:rsidR="00E839D5" w:rsidRPr="00E839D5" w:rsidRDefault="00D27FAC" w:rsidP="00E839D5">
            <w:pPr>
              <w:rPr>
                <w:rFonts w:eastAsiaTheme="minorEastAsia"/>
                <w:b/>
                <w:bCs/>
                <w:sz w:val="24"/>
                <w:szCs w:val="24"/>
                <w:lang w:val="en-US" w:eastAsia="zh-CN"/>
              </w:rPr>
            </w:pPr>
            <w:r w:rsidRPr="00D27FAC">
              <w:rPr>
                <w:b/>
                <w:bCs/>
                <w:sz w:val="24"/>
                <w:szCs w:val="24"/>
                <w:lang w:val="en-US"/>
              </w:rPr>
              <w:lastRenderedPageBreak/>
              <w:t>Comments on Business</w:t>
            </w:r>
            <w:r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03B6379F" w14:textId="7E498C82" w:rsidR="00E839D5" w:rsidRPr="00E839D5" w:rsidRDefault="00E839D5" w:rsidP="00E839D5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 w:rsidRPr="00E839D5">
              <w:rPr>
                <w:rFonts w:eastAsiaTheme="minorEastAsia"/>
                <w:sz w:val="24"/>
                <w:szCs w:val="24"/>
                <w:lang w:val="en-US" w:eastAsia="zh-CN"/>
              </w:rPr>
              <w:t xml:space="preserve">HEICO Corporation, through its subsidiaries, designs, manufactures and sells aerospace, defense, and </w:t>
            </w:r>
            <w:r w:rsidR="006D3672">
              <w:rPr>
                <w:rFonts w:eastAsiaTheme="minorEastAsia"/>
                <w:sz w:val="24"/>
                <w:szCs w:val="24"/>
                <w:lang w:val="en-US" w:eastAsia="zh-CN"/>
              </w:rPr>
              <w:t>electronic-related</w:t>
            </w:r>
            <w:r w:rsidRPr="00E839D5">
              <w:rPr>
                <w:rFonts w:eastAsiaTheme="minorEastAsia"/>
                <w:sz w:val="24"/>
                <w:szCs w:val="24"/>
                <w:lang w:val="en-US" w:eastAsia="zh-CN"/>
              </w:rPr>
              <w:t xml:space="preserve"> products and services in the United States and internationally.</w:t>
            </w:r>
          </w:p>
        </w:tc>
      </w:tr>
      <w:tr w:rsidR="00317C05" w14:paraId="71C185BD" w14:textId="77777777" w:rsidTr="00C1546A">
        <w:trPr>
          <w:trHeight w:val="1952"/>
        </w:trPr>
        <w:tc>
          <w:tcPr>
            <w:tcW w:w="10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0AB15" w14:textId="4924EB76" w:rsidR="00317C05" w:rsidRPr="00D27FAC" w:rsidRDefault="00317C05" w:rsidP="00035961">
            <w:pPr>
              <w:rPr>
                <w:b/>
                <w:bCs/>
                <w:sz w:val="24"/>
                <w:szCs w:val="24"/>
                <w:u w:val="single"/>
                <w:lang w:val="en-US"/>
              </w:rPr>
            </w:pPr>
            <w:r w:rsidRPr="00D27FAC">
              <w:rPr>
                <w:b/>
                <w:bCs/>
                <w:sz w:val="24"/>
                <w:szCs w:val="24"/>
                <w:lang w:val="en-US"/>
              </w:rPr>
              <w:t xml:space="preserve">KPI’s </w:t>
            </w:r>
            <w:r w:rsidR="00D27FAC">
              <w:rPr>
                <w:b/>
                <w:bCs/>
                <w:sz w:val="24"/>
                <w:szCs w:val="24"/>
                <w:lang w:val="en-US"/>
              </w:rPr>
              <w:t xml:space="preserve">driving Revenue and Earnings </w:t>
            </w:r>
          </w:p>
          <w:p w14:paraId="25F8C2BC" w14:textId="08E59F6D" w:rsidR="00D27FAC" w:rsidRPr="000F6637" w:rsidRDefault="004D1AEA" w:rsidP="00035961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>Goal:</w:t>
            </w:r>
            <w:r w:rsidRPr="004D1AEA">
              <w:rPr>
                <w:rFonts w:eastAsiaTheme="minorEastAsia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 xml:space="preserve"> T</w:t>
            </w:r>
            <w:r w:rsidRPr="004D1AEA">
              <w:rPr>
                <w:rFonts w:eastAsiaTheme="minorEastAsia"/>
                <w:sz w:val="24"/>
                <w:szCs w:val="24"/>
                <w:lang w:val="en-US" w:eastAsia="zh-CN"/>
              </w:rPr>
              <w:t xml:space="preserve">o grow net income </w:t>
            </w:r>
            <w:r w:rsidR="006D3672">
              <w:rPr>
                <w:rFonts w:eastAsiaTheme="minorEastAsia"/>
                <w:sz w:val="24"/>
                <w:szCs w:val="24"/>
                <w:lang w:val="en-US" w:eastAsia="zh-CN"/>
              </w:rPr>
              <w:t xml:space="preserve">by </w:t>
            </w:r>
            <w:r w:rsidRPr="004D1AEA">
              <w:rPr>
                <w:rFonts w:eastAsiaTheme="minorEastAsia"/>
                <w:sz w:val="24"/>
                <w:szCs w:val="24"/>
                <w:lang w:val="en-US" w:eastAsia="zh-CN"/>
              </w:rPr>
              <w:t>15% to 20% annually compounded</w:t>
            </w:r>
          </w:p>
          <w:p w14:paraId="2FE188E9" w14:textId="12E476C6" w:rsidR="00962E4D" w:rsidRDefault="006D3672" w:rsidP="00035961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 xml:space="preserve">Cash </w:t>
            </w:r>
            <w:r>
              <w:rPr>
                <w:rFonts w:eastAsiaTheme="minorEastAsia"/>
                <w:sz w:val="24"/>
                <w:szCs w:val="24"/>
                <w:lang w:val="en-US" w:eastAsia="zh-CN"/>
              </w:rPr>
              <w:t>Generation</w:t>
            </w: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 xml:space="preserve"> is Paramount (with </w:t>
            </w:r>
            <w:r>
              <w:rPr>
                <w:rFonts w:eastAsiaTheme="minorEastAsia"/>
                <w:sz w:val="24"/>
                <w:szCs w:val="24"/>
                <w:lang w:val="en-US" w:eastAsia="zh-CN"/>
              </w:rPr>
              <w:t xml:space="preserve">a </w:t>
            </w: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 xml:space="preserve">46% </w:t>
            </w:r>
            <w:r>
              <w:rPr>
                <w:rFonts w:eastAsiaTheme="minorEastAsia"/>
                <w:sz w:val="24"/>
                <w:szCs w:val="24"/>
                <w:lang w:val="en-US" w:eastAsia="zh-CN"/>
              </w:rPr>
              <w:t>increase</w:t>
            </w: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 xml:space="preserve"> in operating cash flow in Q1 YOY)</w:t>
            </w:r>
          </w:p>
          <w:p w14:paraId="655A5351" w14:textId="58F84222" w:rsidR="006D3672" w:rsidRDefault="006D3672" w:rsidP="00035961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>Net Sales to EBITDA 2.79x, from 3.04x in the last quarter</w:t>
            </w:r>
          </w:p>
          <w:p w14:paraId="50F3AF9B" w14:textId="17BCD18D" w:rsidR="006D3672" w:rsidRPr="006D3672" w:rsidRDefault="00C1546A" w:rsidP="00035961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 xml:space="preserve">PMA Parts Expectation: 400 parts a year (in line with 2022) + 150 parts (from </w:t>
            </w:r>
            <w:r>
              <w:rPr>
                <w:rFonts w:eastAsiaTheme="minorEastAsia"/>
                <w:sz w:val="24"/>
                <w:szCs w:val="24"/>
                <w:lang w:val="en-US" w:eastAsia="zh-CN"/>
              </w:rPr>
              <w:t xml:space="preserve">the </w:t>
            </w: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>acquisition of Wencor)</w:t>
            </w:r>
          </w:p>
          <w:p w14:paraId="7E63422D" w14:textId="77777777" w:rsidR="006D3672" w:rsidRDefault="006D3672" w:rsidP="00035961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</w:p>
          <w:p w14:paraId="43F038D8" w14:textId="7F2C0C0A" w:rsidR="00AA74B6" w:rsidRPr="000F6637" w:rsidRDefault="00AA74B6" w:rsidP="00035961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</w:p>
        </w:tc>
      </w:tr>
      <w:tr w:rsidR="006D3672" w14:paraId="40B6135A" w14:textId="77777777" w:rsidTr="00C1546A">
        <w:trPr>
          <w:trHeight w:val="1952"/>
        </w:trPr>
        <w:tc>
          <w:tcPr>
            <w:tcW w:w="10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72228" w14:textId="77777777" w:rsidR="006D3672" w:rsidRPr="00C1546A" w:rsidRDefault="006D3672" w:rsidP="00035961">
            <w:pPr>
              <w:rPr>
                <w:rFonts w:eastAsiaTheme="minorEastAsia"/>
                <w:b/>
                <w:bCs/>
                <w:sz w:val="24"/>
                <w:szCs w:val="24"/>
                <w:lang w:val="en-US" w:eastAsia="zh-CN"/>
              </w:rPr>
            </w:pPr>
          </w:p>
        </w:tc>
      </w:tr>
    </w:tbl>
    <w:p w14:paraId="0F0CEB05" w14:textId="2869EADB" w:rsidR="002B6C11" w:rsidRPr="00C1546A" w:rsidRDefault="002B6C11" w:rsidP="00317C05">
      <w:pPr>
        <w:rPr>
          <w:rFonts w:eastAsiaTheme="minorEastAsia"/>
          <w:sz w:val="24"/>
          <w:szCs w:val="24"/>
          <w:lang w:val="en-US" w:eastAsia="zh-CN"/>
        </w:rPr>
      </w:pPr>
    </w:p>
    <w:tbl>
      <w:tblPr>
        <w:tblStyle w:val="a4"/>
        <w:tblW w:w="10569" w:type="dxa"/>
        <w:tblLook w:val="04A0" w:firstRow="1" w:lastRow="0" w:firstColumn="1" w:lastColumn="0" w:noHBand="0" w:noVBand="1"/>
      </w:tblPr>
      <w:tblGrid>
        <w:gridCol w:w="10569"/>
      </w:tblGrid>
      <w:tr w:rsidR="00FF3DEC" w:rsidRPr="00FF3DEC" w14:paraId="27E7B7E2" w14:textId="77777777" w:rsidTr="00C1546A">
        <w:trPr>
          <w:trHeight w:val="1109"/>
        </w:trPr>
        <w:tc>
          <w:tcPr>
            <w:tcW w:w="10569" w:type="dxa"/>
          </w:tcPr>
          <w:p w14:paraId="1648D09C" w14:textId="77777777" w:rsidR="00FF3DEC" w:rsidRDefault="00FF3DEC" w:rsidP="00035961">
            <w:pPr>
              <w:rPr>
                <w:rFonts w:eastAsiaTheme="minorEastAsia"/>
                <w:b/>
                <w:bCs/>
                <w:sz w:val="24"/>
                <w:szCs w:val="24"/>
                <w:lang w:val="en-US" w:eastAsia="zh-CN"/>
              </w:rPr>
            </w:pPr>
            <w:r w:rsidRPr="00FF3DEC">
              <w:rPr>
                <w:b/>
                <w:bCs/>
                <w:sz w:val="24"/>
                <w:szCs w:val="24"/>
                <w:lang w:val="en-US"/>
              </w:rPr>
              <w:t xml:space="preserve">Earnings Announcements </w:t>
            </w:r>
          </w:p>
          <w:p w14:paraId="38A187E9" w14:textId="23A39BB2" w:rsidR="00C45650" w:rsidRPr="00C1546A" w:rsidRDefault="00C1546A" w:rsidP="00035961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 w:rsidRPr="00C1546A">
              <w:rPr>
                <w:rFonts w:eastAsiaTheme="minorEastAsia" w:hint="eastAsia"/>
                <w:sz w:val="24"/>
                <w:szCs w:val="24"/>
                <w:lang w:val="en-US" w:eastAsia="zh-CN"/>
              </w:rPr>
              <w:t>May 23</w:t>
            </w:r>
            <w:r w:rsidRPr="00C1546A">
              <w:rPr>
                <w:rFonts w:eastAsiaTheme="minorEastAsia" w:hint="eastAsia"/>
                <w:sz w:val="24"/>
                <w:szCs w:val="24"/>
                <w:vertAlign w:val="superscript"/>
                <w:lang w:val="en-US" w:eastAsia="zh-CN"/>
              </w:rPr>
              <w:t>rd</w:t>
            </w:r>
            <w:r w:rsidRPr="00C1546A">
              <w:rPr>
                <w:rFonts w:eastAsiaTheme="minorEastAsia" w:hint="eastAsia"/>
                <w:sz w:val="24"/>
                <w:szCs w:val="24"/>
                <w:lang w:val="en-US" w:eastAsia="zh-CN"/>
              </w:rPr>
              <w:t>, 2024</w:t>
            </w:r>
          </w:p>
        </w:tc>
      </w:tr>
    </w:tbl>
    <w:p w14:paraId="5DF852A7" w14:textId="1A87B8F9" w:rsidR="00D27FAC" w:rsidRDefault="00D27FAC" w:rsidP="00317C05">
      <w:pPr>
        <w:rPr>
          <w:sz w:val="24"/>
          <w:szCs w:val="24"/>
          <w:lang w:val="en-US"/>
        </w:rPr>
      </w:pPr>
    </w:p>
    <w:tbl>
      <w:tblPr>
        <w:tblW w:w="10604" w:type="dxa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04"/>
      </w:tblGrid>
      <w:tr w:rsidR="00764403" w14:paraId="38A55215" w14:textId="77777777" w:rsidTr="00764403">
        <w:trPr>
          <w:trHeight w:val="1664"/>
        </w:trPr>
        <w:tc>
          <w:tcPr>
            <w:tcW w:w="10604" w:type="dxa"/>
          </w:tcPr>
          <w:p w14:paraId="48F8E737" w14:textId="77777777" w:rsidR="00764403" w:rsidRDefault="00764403" w:rsidP="00317C05">
            <w:pPr>
              <w:rPr>
                <w:b/>
                <w:bCs/>
                <w:sz w:val="24"/>
                <w:szCs w:val="24"/>
                <w:lang w:val="en-US"/>
              </w:rPr>
            </w:pPr>
            <w:r w:rsidRPr="00764403">
              <w:rPr>
                <w:b/>
                <w:bCs/>
                <w:sz w:val="24"/>
                <w:szCs w:val="24"/>
                <w:lang w:val="en-US"/>
              </w:rPr>
              <w:t xml:space="preserve">Catalysts excluding Earnings </w:t>
            </w:r>
          </w:p>
          <w:p w14:paraId="3D004513" w14:textId="1DBA3AF5" w:rsidR="006F4A36" w:rsidRDefault="00C1546A" w:rsidP="00317C05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 w:rsidRPr="00C1546A">
              <w:rPr>
                <w:sz w:val="24"/>
                <w:szCs w:val="24"/>
                <w:lang w:val="en-US"/>
              </w:rPr>
              <w:t>Industrial Production and Capacity Utilization</w:t>
            </w: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 xml:space="preserve"> - Federal Reserve, Mid-April</w:t>
            </w:r>
          </w:p>
          <w:p w14:paraId="02273BA0" w14:textId="77777777" w:rsidR="00C1546A" w:rsidRDefault="00C1546A" w:rsidP="00317C05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>Semi-Annual Dividend on 29</w:t>
            </w:r>
            <w:r w:rsidRPr="00C1546A">
              <w:rPr>
                <w:rFonts w:eastAsiaTheme="minorEastAsia" w:hint="eastAsia"/>
                <w:sz w:val="24"/>
                <w:szCs w:val="24"/>
                <w:vertAlign w:val="superscript"/>
                <w:lang w:val="en-US" w:eastAsia="zh-CN"/>
              </w:rPr>
              <w:t>th</w:t>
            </w: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 xml:space="preserve"> June</w:t>
            </w:r>
          </w:p>
          <w:p w14:paraId="4AB0F18D" w14:textId="77777777" w:rsidR="00C1546A" w:rsidRDefault="00C1546A" w:rsidP="00317C05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>Boeing</w:t>
            </w:r>
            <w:r>
              <w:rPr>
                <w:rFonts w:eastAsiaTheme="minorEastAsia"/>
                <w:sz w:val="24"/>
                <w:szCs w:val="24"/>
                <w:lang w:val="en-US" w:eastAsia="zh-CN"/>
              </w:rPr>
              <w:t>’</w:t>
            </w: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>s mess in recent days</w:t>
            </w:r>
          </w:p>
          <w:p w14:paraId="5E7A1EDF" w14:textId="1FFF04BC" w:rsidR="00C1546A" w:rsidRDefault="00C1546A" w:rsidP="00317C05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>Boeing</w:t>
            </w:r>
            <w:r>
              <w:rPr>
                <w:rFonts w:eastAsiaTheme="minorEastAsia"/>
                <w:sz w:val="24"/>
                <w:szCs w:val="24"/>
                <w:lang w:val="en-US" w:eastAsia="zh-CN"/>
              </w:rPr>
              <w:t>’</w:t>
            </w: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 xml:space="preserve">s </w:t>
            </w:r>
            <w:r>
              <w:rPr>
                <w:rFonts w:eastAsiaTheme="minorEastAsia"/>
                <w:sz w:val="24"/>
                <w:szCs w:val="24"/>
                <w:lang w:val="en-US" w:eastAsia="zh-CN"/>
              </w:rPr>
              <w:t>Earnings</w:t>
            </w: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eastAsiaTheme="minorEastAsia"/>
                <w:sz w:val="24"/>
                <w:szCs w:val="24"/>
                <w:lang w:val="en-US" w:eastAsia="zh-CN"/>
              </w:rPr>
              <w:t>Announcement</w:t>
            </w: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eastAsiaTheme="minorEastAsia"/>
                <w:sz w:val="24"/>
                <w:szCs w:val="24"/>
                <w:lang w:val="en-US" w:eastAsia="zh-CN"/>
              </w:rPr>
              <w:t>–</w:t>
            </w: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 xml:space="preserve"> 24</w:t>
            </w:r>
            <w:r w:rsidRPr="00C1546A">
              <w:rPr>
                <w:rFonts w:eastAsiaTheme="minorEastAsia" w:hint="eastAsia"/>
                <w:sz w:val="24"/>
                <w:szCs w:val="24"/>
                <w:vertAlign w:val="superscript"/>
                <w:lang w:val="en-US" w:eastAsia="zh-CN"/>
              </w:rPr>
              <w:t>th</w:t>
            </w: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 xml:space="preserve"> April</w:t>
            </w:r>
          </w:p>
          <w:p w14:paraId="25936374" w14:textId="77777777" w:rsidR="00C1546A" w:rsidRDefault="00C1546A" w:rsidP="00317C05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>Axon</w:t>
            </w:r>
            <w:r>
              <w:rPr>
                <w:rFonts w:eastAsiaTheme="minorEastAsia"/>
                <w:sz w:val="24"/>
                <w:szCs w:val="24"/>
                <w:lang w:val="en-US" w:eastAsia="zh-CN"/>
              </w:rPr>
              <w:t>’</w:t>
            </w: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 xml:space="preserve">s Earnings Announcement </w:t>
            </w:r>
            <w:r>
              <w:rPr>
                <w:rFonts w:eastAsiaTheme="minorEastAsia"/>
                <w:sz w:val="24"/>
                <w:szCs w:val="24"/>
                <w:lang w:val="en-US" w:eastAsia="zh-CN"/>
              </w:rPr>
              <w:t>–</w:t>
            </w: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 xml:space="preserve"> 8</w:t>
            </w:r>
            <w:r w:rsidRPr="00C1546A">
              <w:rPr>
                <w:rFonts w:eastAsiaTheme="minorEastAsia" w:hint="eastAsia"/>
                <w:sz w:val="24"/>
                <w:szCs w:val="24"/>
                <w:vertAlign w:val="superscript"/>
                <w:lang w:val="en-US" w:eastAsia="zh-CN"/>
              </w:rPr>
              <w:t>th</w:t>
            </w: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 xml:space="preserve"> May</w:t>
            </w:r>
          </w:p>
          <w:p w14:paraId="03A847EB" w14:textId="77777777" w:rsidR="00860591" w:rsidRDefault="00860591" w:rsidP="00317C05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 w:rsidRPr="00860591">
              <w:rPr>
                <w:rFonts w:eastAsiaTheme="minorEastAsia"/>
                <w:sz w:val="24"/>
                <w:szCs w:val="24"/>
                <w:lang w:val="en-US" w:eastAsia="zh-CN"/>
              </w:rPr>
              <w:drawing>
                <wp:inline distT="0" distB="0" distL="0" distR="0" wp14:anchorId="35A30017" wp14:editId="0609E1EC">
                  <wp:extent cx="5548313" cy="3024907"/>
                  <wp:effectExtent l="0" t="0" r="0" b="4445"/>
                  <wp:docPr id="164846675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46675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8536" cy="3030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73CF22" w14:textId="77777777" w:rsidR="00860591" w:rsidRDefault="00860591" w:rsidP="00317C05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>
              <w:rPr>
                <w:rFonts w:eastAsiaTheme="minorEastAsia"/>
                <w:noProof/>
                <w:sz w:val="24"/>
                <w:szCs w:val="24"/>
                <w:lang w:val="en-US" w:eastAsia="zh-CN"/>
              </w:rPr>
              <w:drawing>
                <wp:inline distT="0" distB="0" distL="0" distR="0" wp14:anchorId="7BE66DEA" wp14:editId="1F2A67CA">
                  <wp:extent cx="4651375" cy="3038475"/>
                  <wp:effectExtent l="0" t="0" r="0" b="9525"/>
                  <wp:docPr id="96924635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2011" cy="3045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3B5986D" w14:textId="327E33D9" w:rsidR="00860591" w:rsidRPr="00C1546A" w:rsidRDefault="00860591" w:rsidP="00317C05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</w:p>
        </w:tc>
      </w:tr>
    </w:tbl>
    <w:p w14:paraId="1BB0AE2D" w14:textId="77777777" w:rsidR="00C1546A" w:rsidRPr="00860591" w:rsidRDefault="00C1546A" w:rsidP="00317C05">
      <w:pPr>
        <w:rPr>
          <w:rFonts w:eastAsiaTheme="minorEastAsia"/>
          <w:b/>
          <w:bCs/>
          <w:sz w:val="28"/>
          <w:szCs w:val="28"/>
          <w:u w:val="single"/>
          <w:lang w:val="en-US" w:eastAsia="zh-CN"/>
        </w:rPr>
      </w:pPr>
    </w:p>
    <w:p w14:paraId="7C115A44" w14:textId="1FEED8EC" w:rsidR="00860591" w:rsidRPr="00860591" w:rsidRDefault="00860591" w:rsidP="00317C05">
      <w:pPr>
        <w:rPr>
          <w:rFonts w:eastAsiaTheme="minorEastAsia" w:hint="eastAsia"/>
          <w:b/>
          <w:bCs/>
          <w:sz w:val="28"/>
          <w:szCs w:val="28"/>
          <w:lang w:val="en-US" w:eastAsia="zh-CN"/>
        </w:rPr>
      </w:pPr>
      <w:r w:rsidRPr="00860591">
        <w:rPr>
          <w:rFonts w:eastAsiaTheme="minorEastAsia" w:hint="eastAsia"/>
          <w:b/>
          <w:bCs/>
          <w:sz w:val="28"/>
          <w:szCs w:val="28"/>
          <w:lang w:val="en-US" w:eastAsia="zh-CN"/>
        </w:rPr>
        <w:t>Technical Analysis</w:t>
      </w:r>
    </w:p>
    <w:p w14:paraId="55422F0A" w14:textId="77777777" w:rsidR="00C1546A" w:rsidRDefault="00C1546A" w:rsidP="00317C05">
      <w:pPr>
        <w:rPr>
          <w:rFonts w:eastAsiaTheme="minorEastAsia"/>
          <w:sz w:val="24"/>
          <w:szCs w:val="24"/>
          <w:lang w:val="en-US" w:eastAsia="zh-CN"/>
        </w:rPr>
      </w:pPr>
    </w:p>
    <w:p w14:paraId="52EFA92B" w14:textId="3E3894C9" w:rsidR="00035961" w:rsidRDefault="00C1546A" w:rsidP="00317C05">
      <w:pPr>
        <w:rPr>
          <w:sz w:val="24"/>
          <w:szCs w:val="24"/>
          <w:lang w:val="en-US"/>
        </w:rPr>
      </w:pPr>
      <w:r w:rsidRPr="00C1546A">
        <w:rPr>
          <w:noProof/>
          <w:sz w:val="24"/>
          <w:szCs w:val="24"/>
          <w:lang w:val="en-US"/>
        </w:rPr>
        <w:drawing>
          <wp:inline distT="0" distB="0" distL="0" distR="0" wp14:anchorId="0CB4482A" wp14:editId="7FFEA6BE">
            <wp:extent cx="6645910" cy="3309620"/>
            <wp:effectExtent l="0" t="0" r="2540" b="5080"/>
            <wp:docPr id="14983381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33817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73EC3" w14:textId="0F92B128" w:rsidR="00035961" w:rsidRPr="00C1546A" w:rsidRDefault="00C1546A" w:rsidP="00317C05">
      <w:pPr>
        <w:rPr>
          <w:rFonts w:eastAsiaTheme="minorEastAsia"/>
          <w:sz w:val="24"/>
          <w:szCs w:val="24"/>
          <w:lang w:val="en-US" w:eastAsia="zh-CN"/>
        </w:rPr>
      </w:pPr>
      <w:r>
        <w:rPr>
          <w:rFonts w:eastAsiaTheme="minorEastAsia" w:hint="eastAsia"/>
          <w:sz w:val="24"/>
          <w:szCs w:val="24"/>
          <w:lang w:val="en-US" w:eastAsia="zh-CN"/>
        </w:rPr>
        <w:t>Green Light. Though 60 SMA crossed 20 SMA, HEI is still in the upward channel, with healthy RSI.</w:t>
      </w:r>
    </w:p>
    <w:p w14:paraId="1176B734" w14:textId="77777777" w:rsidR="00035961" w:rsidRPr="00C1546A" w:rsidRDefault="00035961" w:rsidP="00317C05">
      <w:pPr>
        <w:rPr>
          <w:rFonts w:eastAsiaTheme="minorEastAsia"/>
          <w:sz w:val="24"/>
          <w:szCs w:val="24"/>
          <w:lang w:val="en-US" w:eastAsia="zh-CN"/>
        </w:rPr>
      </w:pPr>
    </w:p>
    <w:tbl>
      <w:tblPr>
        <w:tblW w:w="1062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20"/>
      </w:tblGrid>
      <w:tr w:rsidR="00764403" w14:paraId="0996E08F" w14:textId="77777777" w:rsidTr="00764403">
        <w:trPr>
          <w:trHeight w:val="885"/>
        </w:trPr>
        <w:tc>
          <w:tcPr>
            <w:tcW w:w="10620" w:type="dxa"/>
          </w:tcPr>
          <w:p w14:paraId="6F454DD2" w14:textId="77777777" w:rsidR="00035961" w:rsidRDefault="00DD59DD" w:rsidP="00112851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14F93E60" wp14:editId="19F80026">
                  <wp:extent cx="6544310" cy="3132238"/>
                  <wp:effectExtent l="0" t="0" r="0" b="0"/>
                  <wp:docPr id="62646844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5275" cy="3151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CC472D5" w14:textId="77777777" w:rsidR="00C1546A" w:rsidRDefault="00C1546A" w:rsidP="00112851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</w:p>
          <w:p w14:paraId="54EFE150" w14:textId="77777777" w:rsidR="00C1546A" w:rsidRDefault="00C1546A" w:rsidP="00112851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>Implied Volatility</w:t>
            </w:r>
          </w:p>
          <w:p w14:paraId="1A1DF042" w14:textId="63115B18" w:rsidR="009A16D9" w:rsidRPr="00C1546A" w:rsidRDefault="009A16D9" w:rsidP="00112851">
            <w:pPr>
              <w:rPr>
                <w:rFonts w:eastAsiaTheme="minorEastAsia"/>
                <w:sz w:val="24"/>
                <w:szCs w:val="24"/>
                <w:lang w:val="en-US" w:eastAsia="zh-CN"/>
              </w:rPr>
            </w:pPr>
            <w:r>
              <w:rPr>
                <w:rFonts w:eastAsiaTheme="minorEastAsia" w:hint="eastAsia"/>
                <w:sz w:val="24"/>
                <w:szCs w:val="24"/>
                <w:lang w:val="en-US" w:eastAsia="zh-CN"/>
              </w:rPr>
              <w:t>24%</w:t>
            </w:r>
          </w:p>
        </w:tc>
      </w:tr>
    </w:tbl>
    <w:p w14:paraId="19B2465C" w14:textId="5465C3E0" w:rsidR="00764403" w:rsidRDefault="00764403" w:rsidP="00317C05">
      <w:pPr>
        <w:rPr>
          <w:sz w:val="24"/>
          <w:szCs w:val="24"/>
          <w:lang w:val="en-US"/>
        </w:rPr>
      </w:pPr>
    </w:p>
    <w:p w14:paraId="5F184150" w14:textId="77777777" w:rsidR="00035961" w:rsidRPr="002B6C11" w:rsidRDefault="00035961" w:rsidP="00317C05">
      <w:pPr>
        <w:rPr>
          <w:sz w:val="24"/>
          <w:szCs w:val="24"/>
          <w:lang w:val="en-US"/>
        </w:rPr>
      </w:pPr>
    </w:p>
    <w:sectPr w:rsidR="00035961" w:rsidRPr="002B6C11" w:rsidSect="001B50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71B09" w14:textId="77777777" w:rsidR="001B5091" w:rsidRDefault="001B5091" w:rsidP="0030741C">
      <w:pPr>
        <w:spacing w:after="0" w:line="240" w:lineRule="auto"/>
      </w:pPr>
      <w:r>
        <w:separator/>
      </w:r>
    </w:p>
  </w:endnote>
  <w:endnote w:type="continuationSeparator" w:id="0">
    <w:p w14:paraId="4AB6B591" w14:textId="77777777" w:rsidR="001B5091" w:rsidRDefault="001B5091" w:rsidP="00307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ACE1FD" w14:textId="77777777" w:rsidR="001B5091" w:rsidRDefault="001B5091" w:rsidP="0030741C">
      <w:pPr>
        <w:spacing w:after="0" w:line="240" w:lineRule="auto"/>
      </w:pPr>
      <w:r>
        <w:separator/>
      </w:r>
    </w:p>
  </w:footnote>
  <w:footnote w:type="continuationSeparator" w:id="0">
    <w:p w14:paraId="4FF70186" w14:textId="77777777" w:rsidR="001B5091" w:rsidRDefault="001B5091" w:rsidP="003074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B3729A"/>
    <w:multiLevelType w:val="hybridMultilevel"/>
    <w:tmpl w:val="ECB2F728"/>
    <w:lvl w:ilvl="0" w:tplc="970C4F56">
      <w:start w:val="2024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CF46BB"/>
    <w:multiLevelType w:val="hybridMultilevel"/>
    <w:tmpl w:val="764EFA4E"/>
    <w:lvl w:ilvl="0" w:tplc="F39ADAB8">
      <w:start w:val="5"/>
      <w:numFmt w:val="bullet"/>
      <w:lvlText w:val="·"/>
      <w:lvlJc w:val="left"/>
      <w:pPr>
        <w:ind w:left="720" w:hanging="360"/>
      </w:pPr>
      <w:rPr>
        <w:rFonts w:ascii="等线" w:eastAsia="等线" w:hAnsi="等线" w:cstheme="minorBidi" w:hint="eastAsia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5F2580"/>
    <w:multiLevelType w:val="hybridMultilevel"/>
    <w:tmpl w:val="72A46D7A"/>
    <w:lvl w:ilvl="0" w:tplc="0D7EF50C">
      <w:start w:val="2024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9023020">
    <w:abstractNumId w:val="1"/>
  </w:num>
  <w:num w:numId="2" w16cid:durableId="1866750473">
    <w:abstractNumId w:val="0"/>
  </w:num>
  <w:num w:numId="3" w16cid:durableId="2196781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A77"/>
    <w:rsid w:val="000263E1"/>
    <w:rsid w:val="00035961"/>
    <w:rsid w:val="00077560"/>
    <w:rsid w:val="000A328F"/>
    <w:rsid w:val="000B5DF3"/>
    <w:rsid w:val="000B62CA"/>
    <w:rsid w:val="000F6637"/>
    <w:rsid w:val="00112851"/>
    <w:rsid w:val="00143445"/>
    <w:rsid w:val="001B1F5A"/>
    <w:rsid w:val="001B5091"/>
    <w:rsid w:val="001F7E46"/>
    <w:rsid w:val="00245800"/>
    <w:rsid w:val="002A1889"/>
    <w:rsid w:val="002B6C11"/>
    <w:rsid w:val="0030741C"/>
    <w:rsid w:val="00317C05"/>
    <w:rsid w:val="00342AF6"/>
    <w:rsid w:val="00350910"/>
    <w:rsid w:val="00386A36"/>
    <w:rsid w:val="00392964"/>
    <w:rsid w:val="003E0CBA"/>
    <w:rsid w:val="0040583D"/>
    <w:rsid w:val="004067BB"/>
    <w:rsid w:val="004329EB"/>
    <w:rsid w:val="00481907"/>
    <w:rsid w:val="004C3BBC"/>
    <w:rsid w:val="004D1AEA"/>
    <w:rsid w:val="004D2789"/>
    <w:rsid w:val="004F4C37"/>
    <w:rsid w:val="005829EA"/>
    <w:rsid w:val="005C224F"/>
    <w:rsid w:val="00621470"/>
    <w:rsid w:val="006506AA"/>
    <w:rsid w:val="006D3672"/>
    <w:rsid w:val="006F4A36"/>
    <w:rsid w:val="006F76F5"/>
    <w:rsid w:val="007433B7"/>
    <w:rsid w:val="00764403"/>
    <w:rsid w:val="007B3A54"/>
    <w:rsid w:val="007B3DE8"/>
    <w:rsid w:val="007D6C10"/>
    <w:rsid w:val="00803F45"/>
    <w:rsid w:val="00860591"/>
    <w:rsid w:val="008B20A9"/>
    <w:rsid w:val="008B301C"/>
    <w:rsid w:val="00925934"/>
    <w:rsid w:val="00934954"/>
    <w:rsid w:val="00962E4D"/>
    <w:rsid w:val="009A0C0C"/>
    <w:rsid w:val="009A16D9"/>
    <w:rsid w:val="009C6524"/>
    <w:rsid w:val="009E4440"/>
    <w:rsid w:val="00A25E47"/>
    <w:rsid w:val="00A34F96"/>
    <w:rsid w:val="00A6438B"/>
    <w:rsid w:val="00AA74B6"/>
    <w:rsid w:val="00B24ADC"/>
    <w:rsid w:val="00B34493"/>
    <w:rsid w:val="00B468C6"/>
    <w:rsid w:val="00B96875"/>
    <w:rsid w:val="00BD28A6"/>
    <w:rsid w:val="00C1546A"/>
    <w:rsid w:val="00C27BD8"/>
    <w:rsid w:val="00C45650"/>
    <w:rsid w:val="00C846C8"/>
    <w:rsid w:val="00CB7A77"/>
    <w:rsid w:val="00D27FAC"/>
    <w:rsid w:val="00D674C5"/>
    <w:rsid w:val="00DA5D19"/>
    <w:rsid w:val="00DD59DD"/>
    <w:rsid w:val="00E03E79"/>
    <w:rsid w:val="00E666C9"/>
    <w:rsid w:val="00E839D5"/>
    <w:rsid w:val="00EA1C29"/>
    <w:rsid w:val="00F037D1"/>
    <w:rsid w:val="00F85BD1"/>
    <w:rsid w:val="00FA515B"/>
    <w:rsid w:val="00FB048F"/>
    <w:rsid w:val="00FF3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F7169A8"/>
  <w15:chartTrackingRefBased/>
  <w15:docId w15:val="{CCFD122E-266E-46CF-9D6C-38A1163CD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宋体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Theme="min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2-1">
    <w:name w:val="Medium List 2 Accent 1"/>
    <w:basedOn w:val="a1"/>
    <w:uiPriority w:val="66"/>
    <w:rsid w:val="002B6C1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a3">
    <w:name w:val="Hyperlink"/>
    <w:basedOn w:val="a0"/>
    <w:uiPriority w:val="99"/>
    <w:semiHidden/>
    <w:unhideWhenUsed/>
    <w:rsid w:val="00D27FAC"/>
    <w:rPr>
      <w:color w:val="0000FF"/>
      <w:u w:val="single"/>
    </w:rPr>
  </w:style>
  <w:style w:type="table" w:styleId="a4">
    <w:name w:val="Table Grid"/>
    <w:basedOn w:val="a1"/>
    <w:uiPriority w:val="39"/>
    <w:rsid w:val="00FF3D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0741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页眉 字符"/>
    <w:basedOn w:val="a0"/>
    <w:link w:val="a5"/>
    <w:uiPriority w:val="99"/>
    <w:rsid w:val="0030741C"/>
    <w:rPr>
      <w:rFonts w:eastAsiaTheme="minorHAnsi"/>
    </w:rPr>
  </w:style>
  <w:style w:type="paragraph" w:styleId="a7">
    <w:name w:val="footer"/>
    <w:basedOn w:val="a"/>
    <w:link w:val="a8"/>
    <w:uiPriority w:val="99"/>
    <w:unhideWhenUsed/>
    <w:rsid w:val="0030741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8">
    <w:name w:val="页脚 字符"/>
    <w:basedOn w:val="a0"/>
    <w:link w:val="a7"/>
    <w:uiPriority w:val="99"/>
    <w:rsid w:val="0030741C"/>
    <w:rPr>
      <w:rFonts w:eastAsiaTheme="minorHAnsi"/>
    </w:rPr>
  </w:style>
  <w:style w:type="paragraph" w:styleId="a9">
    <w:name w:val="List Paragraph"/>
    <w:basedOn w:val="a"/>
    <w:uiPriority w:val="34"/>
    <w:qFormat/>
    <w:rsid w:val="000A32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7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oleObject" Target="file:///C:\Users\32142\Desktop\Investment\Trade%20Idea\Long\HEI\HEI%20Long.xlsx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https://www.aerospacemanufacturinganddesign.com/article/2024-forecast/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5</Pages>
  <Words>520</Words>
  <Characters>2842</Characters>
  <Application>Microsoft Office Word</Application>
  <DocSecurity>0</DocSecurity>
  <Lines>88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Kreil</dc:creator>
  <cp:keywords/>
  <dc:description/>
  <cp:lastModifiedBy>瑞泽 夏</cp:lastModifiedBy>
  <cp:revision>29</cp:revision>
  <dcterms:created xsi:type="dcterms:W3CDTF">2024-03-19T07:15:00Z</dcterms:created>
  <dcterms:modified xsi:type="dcterms:W3CDTF">2024-03-20T01:54:00Z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e4c0300830b8eec0f030078dc401265e65e78dbddc2c20f7b03730beb69e1a67</vt:lpwstr>
  </property>
</Properties>
</file>