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FB078" w14:textId="0724CB37" w:rsidR="00B24ADC" w:rsidRDefault="00CB7A77" w:rsidP="00CB7A77">
      <w:pPr>
        <w:jc w:val="center"/>
        <w:rPr>
          <w:b/>
          <w:bCs/>
          <w:sz w:val="52"/>
          <w:szCs w:val="52"/>
          <w:lang w:val="en-US"/>
        </w:rPr>
      </w:pPr>
      <w:r w:rsidRPr="00CB7A77">
        <w:rPr>
          <w:b/>
          <w:bCs/>
          <w:sz w:val="52"/>
          <w:szCs w:val="52"/>
          <w:lang w:val="en-US"/>
        </w:rPr>
        <w:t>Trade Idea Template</w:t>
      </w:r>
    </w:p>
    <w:p w14:paraId="7EDAD4C2" w14:textId="0B7517A8" w:rsidR="002B6C11" w:rsidRDefault="002B6C11" w:rsidP="002B6C11">
      <w:pPr>
        <w:rPr>
          <w:b/>
          <w:bCs/>
          <w:sz w:val="28"/>
          <w:szCs w:val="28"/>
          <w:lang w:val="en-US"/>
        </w:rPr>
      </w:pPr>
      <w:r w:rsidRPr="002B6C11">
        <w:rPr>
          <w:b/>
          <w:bCs/>
          <w:sz w:val="28"/>
          <w:szCs w:val="28"/>
          <w:lang w:val="en-US"/>
        </w:rPr>
        <w:t>Quantitative Analysis</w:t>
      </w:r>
      <w:r>
        <w:rPr>
          <w:b/>
          <w:bCs/>
          <w:sz w:val="28"/>
          <w:szCs w:val="28"/>
          <w:lang w:val="en-US"/>
        </w:rPr>
        <w:t xml:space="preserve"> (Annual)</w:t>
      </w:r>
      <w:r w:rsidR="006F4A36">
        <w:rPr>
          <w:b/>
          <w:bCs/>
          <w:sz w:val="28"/>
          <w:szCs w:val="28"/>
          <w:lang w:val="en-US"/>
        </w:rPr>
        <w:t xml:space="preserve"> - </w:t>
      </w:r>
      <w:r w:rsidR="006F4A36" w:rsidRPr="006F4A36">
        <w:rPr>
          <w:b/>
          <w:bCs/>
          <w:color w:val="0000FF"/>
          <w:sz w:val="28"/>
          <w:szCs w:val="28"/>
          <w:lang w:val="en-US"/>
        </w:rPr>
        <w:t>LONG</w:t>
      </w:r>
    </w:p>
    <w:p w14:paraId="3E0443F0" w14:textId="2F5F2899" w:rsidR="00DA5D19" w:rsidRDefault="007B3A54" w:rsidP="00CB7A77">
      <w:pPr>
        <w:rPr>
          <w:rFonts w:eastAsiaTheme="minorEastAsia"/>
          <w:sz w:val="24"/>
          <w:szCs w:val="24"/>
          <w:lang w:val="en-US" w:eastAsia="zh-CN"/>
        </w:rPr>
      </w:pPr>
      <w:r w:rsidRPr="007B3A54">
        <w:rPr>
          <w:noProof/>
        </w:rPr>
        <w:drawing>
          <wp:inline distT="0" distB="0" distL="0" distR="0" wp14:anchorId="31B06A6F" wp14:editId="5EE44B3F">
            <wp:extent cx="6645910" cy="1103630"/>
            <wp:effectExtent l="0" t="0" r="2540" b="1270"/>
            <wp:docPr id="2090939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9C94" w14:textId="510376C5" w:rsidR="007B3A54" w:rsidRPr="007B3A54" w:rsidRDefault="007B3A54" w:rsidP="00CB7A77">
      <w:pPr>
        <w:rPr>
          <w:rFonts w:eastAsiaTheme="minorEastAsia"/>
          <w:sz w:val="24"/>
          <w:szCs w:val="24"/>
          <w:lang w:val="en-US" w:eastAsia="zh-CN"/>
        </w:rPr>
      </w:pPr>
      <w:r w:rsidRPr="007B3A54">
        <w:rPr>
          <w:rFonts w:hint="eastAsia"/>
          <w:noProof/>
        </w:rPr>
        <w:drawing>
          <wp:inline distT="0" distB="0" distL="0" distR="0" wp14:anchorId="022535EB" wp14:editId="43E7089E">
            <wp:extent cx="6645910" cy="1400810"/>
            <wp:effectExtent l="0" t="0" r="2540" b="8890"/>
            <wp:docPr id="15808757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5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59"/>
      </w:tblGrid>
      <w:tr w:rsidR="00317C05" w14:paraId="13C1C52F" w14:textId="77777777" w:rsidTr="00317C05">
        <w:trPr>
          <w:trHeight w:val="2565"/>
        </w:trPr>
        <w:tc>
          <w:tcPr>
            <w:tcW w:w="10559" w:type="dxa"/>
          </w:tcPr>
          <w:p w14:paraId="58BDBB4E" w14:textId="61F2BB30" w:rsidR="00317C05" w:rsidRDefault="00317C05" w:rsidP="00CB7A77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r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Comments on </w:t>
            </w:r>
            <w:r w:rsidR="0030741C"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>Quantitative Analysis</w:t>
            </w:r>
            <w:r w:rsidR="0030741C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 Sector Comparison</w:t>
            </w:r>
          </w:p>
          <w:p w14:paraId="44BF0642" w14:textId="77777777" w:rsidR="00317C05" w:rsidRDefault="007B3A54" w:rsidP="00CB7A77">
            <w:pPr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Sector Growth trends lower in the next 2 years</w:t>
            </w:r>
          </w:p>
          <w:p w14:paraId="20834447" w14:textId="66DF2305" w:rsidR="007B3A54" w:rsidRDefault="007B3A54" w:rsidP="00CB7A77">
            <w:pPr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5.98% CAGR between 2022-2030, from </w:t>
            </w:r>
            <w:proofErr w:type="spellStart"/>
            <w:r>
              <w:rPr>
                <w:rFonts w:eastAsiaTheme="minorEastAsia" w:hint="eastAsia"/>
                <w:lang w:val="en-US" w:eastAsia="zh-CN"/>
              </w:rPr>
              <w:t>Renub</w:t>
            </w:r>
            <w:proofErr w:type="spellEnd"/>
          </w:p>
          <w:p w14:paraId="1FA27A12" w14:textId="458BBCDB" w:rsidR="007B3A54" w:rsidRDefault="007B3A54" w:rsidP="00CB7A77">
            <w:pPr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DE is well below the average growth in the period, with negative growth in 2024 and low </w:t>
            </w:r>
            <w:r w:rsidR="0057474E">
              <w:rPr>
                <w:rFonts w:eastAsiaTheme="minorEastAsia"/>
                <w:lang w:val="en-US" w:eastAsia="zh-CN"/>
              </w:rPr>
              <w:t>single-digit</w:t>
            </w:r>
            <w:r>
              <w:rPr>
                <w:rFonts w:eastAsiaTheme="minorEastAsia" w:hint="eastAsia"/>
                <w:lang w:val="en-US" w:eastAsia="zh-CN"/>
              </w:rPr>
              <w:t xml:space="preserve"> growth in 2025</w:t>
            </w:r>
          </w:p>
          <w:p w14:paraId="0BCCCDEA" w14:textId="77777777" w:rsidR="007B3A54" w:rsidRDefault="007B3A54" w:rsidP="00CB7A77">
            <w:pPr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PEs in two periods are well below average</w:t>
            </w:r>
          </w:p>
          <w:p w14:paraId="16ABB294" w14:textId="7476126E" w:rsidR="007B3A54" w:rsidRDefault="007B3A54" w:rsidP="00CB7A77">
            <w:pPr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PMI suggests low growth in this sector since late 2023</w:t>
            </w:r>
          </w:p>
          <w:p w14:paraId="124FA035" w14:textId="3F8F8935" w:rsidR="007B3A54" w:rsidRPr="007B3A54" w:rsidRDefault="007B3A54" w:rsidP="00CB7A77">
            <w:pPr>
              <w:rPr>
                <w:rFonts w:eastAsiaTheme="minorEastAsia"/>
                <w:lang w:val="en-US" w:eastAsia="zh-CN"/>
              </w:rPr>
            </w:pPr>
          </w:p>
        </w:tc>
      </w:tr>
    </w:tbl>
    <w:p w14:paraId="241205C4" w14:textId="5F083F86" w:rsidR="00317C05" w:rsidRPr="007B3A54" w:rsidRDefault="00317C05" w:rsidP="00CB7A77">
      <w:pPr>
        <w:rPr>
          <w:sz w:val="24"/>
          <w:szCs w:val="24"/>
        </w:rPr>
      </w:pPr>
    </w:p>
    <w:tbl>
      <w:tblPr>
        <w:tblW w:w="10500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86"/>
      </w:tblGrid>
      <w:tr w:rsidR="008A74A6" w14:paraId="35DDF4B1" w14:textId="77777777" w:rsidTr="00317C05">
        <w:trPr>
          <w:trHeight w:val="2790"/>
        </w:trPr>
        <w:tc>
          <w:tcPr>
            <w:tcW w:w="10500" w:type="dxa"/>
          </w:tcPr>
          <w:p w14:paraId="5DC7FB3E" w14:textId="77777777" w:rsidR="005C224F" w:rsidRDefault="00317C05" w:rsidP="00112851">
            <w:pPr>
              <w:rPr>
                <w:rFonts w:eastAsiaTheme="minorEastAsia"/>
                <w:b/>
                <w:bCs/>
                <w:sz w:val="24"/>
                <w:szCs w:val="24"/>
                <w:u w:val="single"/>
                <w:lang w:val="en-US" w:eastAsia="zh-CN"/>
              </w:rPr>
            </w:pPr>
            <w:r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Comments on </w:t>
            </w:r>
            <w:r w:rsidR="0030741C"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Annual Quantitative Analysis </w:t>
            </w:r>
          </w:p>
          <w:p w14:paraId="7AA0B205" w14:textId="0D0C9431" w:rsidR="007B3A54" w:rsidRDefault="0057474E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sz w:val="24"/>
                <w:szCs w:val="24"/>
                <w:lang w:val="en-US" w:eastAsia="zh-CN"/>
              </w:rPr>
              <w:t>5-year</w:t>
            </w:r>
            <w:r w:rsidR="00A6438B"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sale CAGR 11.8%. However, in Q1 it shrank 3.69%, with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 xml:space="preserve">a </w:t>
            </w:r>
            <w:r w:rsidR="00A6438B"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2024 outlook of -20% in Production &amp; Precision Ag, -10%-15% in Small Ag and Turf, -5-10% in </w:t>
            </w:r>
            <w:r w:rsidR="00A6438B" w:rsidRPr="00A6438B">
              <w:rPr>
                <w:rFonts w:eastAsiaTheme="minorEastAsia"/>
                <w:sz w:val="24"/>
                <w:szCs w:val="24"/>
                <w:lang w:val="en-US" w:eastAsia="zh-CN"/>
              </w:rPr>
              <w:t>Construction and Forestry</w:t>
            </w:r>
            <w:r w:rsidR="00A6438B">
              <w:rPr>
                <w:rFonts w:eastAsiaTheme="minorEastAsia" w:hint="eastAsia"/>
                <w:sz w:val="24"/>
                <w:szCs w:val="24"/>
                <w:lang w:val="en-US" w:eastAsia="zh-CN"/>
              </w:rPr>
              <w:t>.</w:t>
            </w:r>
          </w:p>
          <w:p w14:paraId="1CA3C16C" w14:textId="23558CBF" w:rsidR="00A6438B" w:rsidRDefault="00A6438B" w:rsidP="00A6438B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Operating Margin has been increasing in recent 5 years, from 10.99% to 25.42%. It is now 18.51% in Q1. with </w:t>
            </w:r>
            <w:r w:rsidR="0057474E">
              <w:rPr>
                <w:rFonts w:eastAsiaTheme="minorEastAsia"/>
                <w:sz w:val="24"/>
                <w:szCs w:val="24"/>
                <w:lang w:val="en-US" w:eastAsia="zh-CN"/>
              </w:rPr>
              <w:t xml:space="preserve">a 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2024 outlook of 22% in Production &amp; Precision Ag, 15-16% in Small Ag and Turf, </w:t>
            </w:r>
            <w:r w:rsidR="0057474E">
              <w:rPr>
                <w:rFonts w:eastAsiaTheme="minorEastAsia"/>
                <w:sz w:val="24"/>
                <w:szCs w:val="24"/>
                <w:lang w:val="en-US" w:eastAsia="zh-CN"/>
              </w:rPr>
              <w:t xml:space="preserve">and 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17-18% in </w:t>
            </w:r>
            <w:r w:rsidRPr="00A6438B">
              <w:rPr>
                <w:rFonts w:eastAsiaTheme="minorEastAsia"/>
                <w:sz w:val="24"/>
                <w:szCs w:val="24"/>
                <w:lang w:val="en-US" w:eastAsia="zh-CN"/>
              </w:rPr>
              <w:t>Construction and Forestry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.</w:t>
            </w:r>
          </w:p>
          <w:p w14:paraId="002AD39E" w14:textId="5E84AFB5" w:rsidR="00A6438B" w:rsidRDefault="00A6438B" w:rsidP="00A6438B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Financial Services is the only segment of the industry expecting growth in 2024, however</w:t>
            </w:r>
            <w:r w:rsidR="0057474E">
              <w:rPr>
                <w:rFonts w:eastAsiaTheme="minorEastAsia"/>
                <w:sz w:val="24"/>
                <w:szCs w:val="24"/>
                <w:lang w:val="en-US" w:eastAsia="zh-CN"/>
              </w:rPr>
              <w:t>,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only constitutes 8% of the total revenue.</w:t>
            </w:r>
          </w:p>
          <w:p w14:paraId="2AE5B611" w14:textId="77777777" w:rsidR="008F7738" w:rsidRDefault="008F7738" w:rsidP="00A6438B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</w:p>
          <w:p w14:paraId="43E31468" w14:textId="11116B18" w:rsidR="008F7738" w:rsidRDefault="008F7738" w:rsidP="00A6438B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val="en-US" w:eastAsia="zh-CN"/>
              </w:rPr>
              <w:lastRenderedPageBreak/>
              <w:drawing>
                <wp:inline distT="0" distB="0" distL="0" distR="0" wp14:anchorId="55A652CF" wp14:editId="735B8CC3">
                  <wp:extent cx="6629399" cy="2328862"/>
                  <wp:effectExtent l="0" t="0" r="635" b="0"/>
                  <wp:docPr id="97829148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3061" cy="2337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C536D3" w14:textId="60F1AABA" w:rsidR="00A6438B" w:rsidRDefault="008F7738" w:rsidP="00112851">
            <w:pPr>
              <w:rPr>
                <w:rFonts w:eastAsiaTheme="minorEastAsia" w:hint="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Despite the plummet in Earnings Growth, the valuation, which is positively correlated with the </w:t>
            </w:r>
            <w:r w:rsidR="008A74A6">
              <w:rPr>
                <w:rFonts w:eastAsiaTheme="minorEastAsia" w:hint="eastAsia"/>
                <w:sz w:val="24"/>
                <w:szCs w:val="24"/>
                <w:lang w:val="en-US" w:eastAsia="zh-CN"/>
              </w:rPr>
              <w:t>next 1-2 year</w:t>
            </w:r>
            <w:r w:rsidR="008A74A6">
              <w:rPr>
                <w:rFonts w:eastAsiaTheme="minorEastAsia"/>
                <w:sz w:val="24"/>
                <w:szCs w:val="24"/>
                <w:lang w:val="en-US" w:eastAsia="zh-CN"/>
              </w:rPr>
              <w:t>’</w:t>
            </w:r>
            <w:r w:rsidR="008A74A6">
              <w:rPr>
                <w:rFonts w:eastAsiaTheme="minorEastAsia" w:hint="eastAsia"/>
                <w:sz w:val="24"/>
                <w:szCs w:val="24"/>
                <w:lang w:val="en-US" w:eastAsia="zh-CN"/>
              </w:rPr>
              <w:t>s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Revenu</w:t>
            </w:r>
            <w:r w:rsidR="008A74A6">
              <w:rPr>
                <w:rFonts w:eastAsiaTheme="minorEastAsia" w:hint="eastAsia"/>
                <w:sz w:val="24"/>
                <w:szCs w:val="24"/>
                <w:lang w:val="en-US" w:eastAsia="zh-CN"/>
              </w:rPr>
              <w:t>e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growth, is still close to the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3-year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average. </w:t>
            </w:r>
          </w:p>
          <w:p w14:paraId="597A2B5D" w14:textId="532EFDA3" w:rsidR="008F7738" w:rsidRDefault="008A74A6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4BB401C8" wp14:editId="05C5B13B">
                  <wp:extent cx="5283111" cy="2007235"/>
                  <wp:effectExtent l="0" t="0" r="0" b="0"/>
                  <wp:docPr id="204348013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476" cy="201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7ACC55" w14:textId="0C6662FF" w:rsidR="008A7842" w:rsidRDefault="008A7842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Implied Volatility</w:t>
            </w:r>
          </w:p>
          <w:p w14:paraId="7AF80A7D" w14:textId="2C4DA910" w:rsidR="008A7842" w:rsidRDefault="008A7842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26%</w:t>
            </w:r>
          </w:p>
          <w:p w14:paraId="659DD0CF" w14:textId="6EDC6B42" w:rsidR="008A7842" w:rsidRDefault="008A7842" w:rsidP="00112851">
            <w:pPr>
              <w:rPr>
                <w:rFonts w:eastAsiaTheme="minorEastAsia" w:hint="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669F4D35" wp14:editId="11F549F2">
                  <wp:extent cx="6607810" cy="2386012"/>
                  <wp:effectExtent l="0" t="0" r="2540" b="0"/>
                  <wp:docPr id="2589929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428" cy="23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644CAA" w14:textId="6AB7B310" w:rsidR="00A6438B" w:rsidRPr="007B3A54" w:rsidRDefault="00A6438B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</w:p>
        </w:tc>
      </w:tr>
      <w:tr w:rsidR="008A74A6" w14:paraId="00808769" w14:textId="77777777" w:rsidTr="006F4A36">
        <w:trPr>
          <w:trHeight w:val="1833"/>
        </w:trPr>
        <w:tc>
          <w:tcPr>
            <w:tcW w:w="10500" w:type="dxa"/>
          </w:tcPr>
          <w:p w14:paraId="305F623A" w14:textId="6A1BC901" w:rsidR="00D27FAC" w:rsidRDefault="00D27FAC" w:rsidP="00317C05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D27FAC">
              <w:rPr>
                <w:b/>
                <w:bCs/>
                <w:sz w:val="24"/>
                <w:szCs w:val="24"/>
                <w:lang w:val="en-US"/>
              </w:rPr>
              <w:lastRenderedPageBreak/>
              <w:t>Comments on Business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20CC7422" w14:textId="78FC8AB2" w:rsidR="00A6438B" w:rsidRPr="00A6438B" w:rsidRDefault="00A6438B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A6438B">
              <w:rPr>
                <w:rFonts w:eastAsiaTheme="minorEastAsia"/>
                <w:sz w:val="24"/>
                <w:szCs w:val="24"/>
                <w:lang w:val="en-US" w:eastAsia="zh-CN"/>
              </w:rPr>
              <w:t>Deere &amp; Company engages in the manufacture and distribution of various equipment worldwide. The company operates through four segments: Production and Precision Agriculture, Small Agriculture and Turf, Construction and Forestry, and Financial Services.</w:t>
            </w:r>
          </w:p>
          <w:p w14:paraId="03B6379F" w14:textId="46087D94" w:rsidR="00D27FAC" w:rsidRPr="00D27FAC" w:rsidRDefault="004F4C37" w:rsidP="00112851">
            <w:pPr>
              <w:rPr>
                <w:sz w:val="24"/>
                <w:szCs w:val="24"/>
                <w:lang w:val="en-US"/>
              </w:rPr>
            </w:pPr>
            <w:r w:rsidRPr="004F4C3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5C7E1FC" wp14:editId="28047AA9">
                  <wp:extent cx="3533775" cy="2090219"/>
                  <wp:effectExtent l="0" t="0" r="0" b="5715"/>
                  <wp:docPr id="15652691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26911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499" cy="209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BD8" w:rsidRPr="00C27BD8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EC67001" wp14:editId="4AF40D33">
                  <wp:extent cx="2236425" cy="1914525"/>
                  <wp:effectExtent l="0" t="0" r="0" b="0"/>
                  <wp:docPr id="3890929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92951" name=""/>
                          <pic:cNvPicPr/>
                        </pic:nvPicPr>
                        <pic:blipFill rotWithShape="1">
                          <a:blip r:embed="rId13"/>
                          <a:srcRect b="-501"/>
                          <a:stretch/>
                        </pic:blipFill>
                        <pic:spPr bwMode="auto">
                          <a:xfrm>
                            <a:off x="0" y="0"/>
                            <a:ext cx="2245156" cy="1921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A6" w14:paraId="71C185BD" w14:textId="77777777" w:rsidTr="00D27FAC">
        <w:trPr>
          <w:trHeight w:val="4952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AB15" w14:textId="4924EB76" w:rsidR="00317C05" w:rsidRPr="00D27FAC" w:rsidRDefault="00317C05" w:rsidP="00035961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r w:rsidRPr="00D27FAC">
              <w:rPr>
                <w:b/>
                <w:bCs/>
                <w:sz w:val="24"/>
                <w:szCs w:val="24"/>
                <w:lang w:val="en-US"/>
              </w:rPr>
              <w:t xml:space="preserve">KPI’s </w:t>
            </w:r>
            <w:r w:rsidR="00D27FAC">
              <w:rPr>
                <w:b/>
                <w:bCs/>
                <w:sz w:val="24"/>
                <w:szCs w:val="24"/>
                <w:lang w:val="en-US"/>
              </w:rPr>
              <w:t xml:space="preserve">driving Revenue and Earnings </w:t>
            </w:r>
          </w:p>
          <w:p w14:paraId="25F8C2BC" w14:textId="77777777" w:rsidR="00D27FAC" w:rsidRDefault="00D27FAC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962E4D" w:rsidRPr="00962E4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B15990D" wp14:editId="769D47B5">
                  <wp:extent cx="6645910" cy="3561080"/>
                  <wp:effectExtent l="0" t="0" r="2540" b="1270"/>
                  <wp:docPr id="11354918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49189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88E9" w14:textId="77777777" w:rsidR="00962E4D" w:rsidRDefault="00962E4D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962E4D">
              <w:rPr>
                <w:rFonts w:eastAsiaTheme="minorEastAsia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303B124F" wp14:editId="14A4E45B">
                  <wp:extent cx="4457700" cy="3129655"/>
                  <wp:effectExtent l="0" t="0" r="0" b="0"/>
                  <wp:docPr id="10035308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088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039" cy="313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6B2D6" w14:textId="22E2FD95" w:rsidR="000A328F" w:rsidRDefault="000A328F" w:rsidP="000A328F">
            <w:pPr>
              <w:rPr>
                <w:rFonts w:eastAsiaTheme="minorEastAsia"/>
                <w:lang w:eastAsia="zh-CN"/>
              </w:rPr>
            </w:pPr>
            <w:r w:rsidRPr="000A328F">
              <w:rPr>
                <w:rFonts w:eastAsiaTheme="minorEastAsia" w:hint="eastAsia"/>
                <w:b/>
                <w:bCs/>
                <w:sz w:val="28"/>
                <w:szCs w:val="28"/>
                <w:lang w:eastAsia="zh-CN"/>
              </w:rPr>
              <w:t>·</w:t>
            </w:r>
            <w:r>
              <w:t>Agricultural fundamentals are expected to moderate in 2024 due to lower commodity prices and elevated interest rates, offset by resilient farm balance sheets and lower input costs.</w:t>
            </w:r>
            <w:r>
              <w:rPr>
                <w:rFonts w:eastAsiaTheme="minorEastAsia" w:hint="eastAsia"/>
                <w:lang w:eastAsia="zh-CN"/>
              </w:rPr>
              <w:t xml:space="preserve"> </w:t>
            </w:r>
            <w:r>
              <w:rPr>
                <w:rFonts w:eastAsiaTheme="minorEastAsia" w:hint="eastAsia"/>
                <w:lang w:eastAsia="zh-CN"/>
              </w:rPr>
              <w:t>（</w:t>
            </w:r>
            <w:r>
              <w:rPr>
                <w:rFonts w:eastAsiaTheme="minorEastAsia" w:hint="eastAsia"/>
                <w:lang w:eastAsia="zh-CN"/>
              </w:rPr>
              <w:t>2023 10-K</w:t>
            </w:r>
            <w:r>
              <w:rPr>
                <w:rFonts w:eastAsiaTheme="minorEastAsia" w:hint="eastAsia"/>
                <w:lang w:eastAsia="zh-CN"/>
              </w:rPr>
              <w:t>）</w:t>
            </w:r>
          </w:p>
          <w:p w14:paraId="67256DC1" w14:textId="31D6C7BB" w:rsidR="000A328F" w:rsidRPr="000A328F" w:rsidRDefault="000A328F" w:rsidP="000A328F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b/>
                <w:bCs/>
                <w:lang w:eastAsia="zh-CN"/>
              </w:rPr>
              <w:t xml:space="preserve">Major </w:t>
            </w:r>
            <w:r w:rsidRPr="000A328F">
              <w:rPr>
                <w:rFonts w:eastAsiaTheme="minorEastAsia" w:hint="eastAsia"/>
                <w:b/>
                <w:bCs/>
                <w:lang w:eastAsia="zh-CN"/>
              </w:rPr>
              <w:t>Commodity Prices</w:t>
            </w:r>
          </w:p>
          <w:p w14:paraId="56FD36E5" w14:textId="77777777" w:rsidR="000A328F" w:rsidRDefault="000A328F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0A328F">
              <w:rPr>
                <w:rFonts w:eastAsiaTheme="minorEastAsia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3D792453" wp14:editId="5D59B1AF">
                  <wp:extent cx="4043363" cy="2807097"/>
                  <wp:effectExtent l="0" t="0" r="0" b="0"/>
                  <wp:docPr id="9365094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50944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011" cy="281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1D8AE" w14:textId="77777777" w:rsidR="000A328F" w:rsidRDefault="000A328F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0A328F">
              <w:rPr>
                <w:rFonts w:eastAsiaTheme="minorEastAsia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777B1501" wp14:editId="362AE089">
                  <wp:extent cx="4029075" cy="2521155"/>
                  <wp:effectExtent l="0" t="0" r="0" b="0"/>
                  <wp:docPr id="11326270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62708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010" cy="252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1E498" w14:textId="76C0FBFF" w:rsidR="00C45650" w:rsidRDefault="00C45650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The reduction in major commodity prices </w:t>
            </w:r>
            <w:r w:rsidR="0057474E">
              <w:rPr>
                <w:rFonts w:eastAsiaTheme="minorEastAsia"/>
                <w:sz w:val="24"/>
                <w:szCs w:val="24"/>
                <w:lang w:val="en-US" w:eastAsia="zh-CN"/>
              </w:rPr>
              <w:t>harms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farmers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’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income, which is strongly correlated to the sales of DE. Note that prices have rebounded recently. May short the stock when the downward trend continues.</w:t>
            </w:r>
          </w:p>
          <w:p w14:paraId="266F032E" w14:textId="77777777" w:rsidR="00C45650" w:rsidRDefault="00C45650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C45650">
              <w:rPr>
                <w:rFonts w:eastAsiaTheme="minorEastAsia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391ED08E" wp14:editId="74FE1227">
                  <wp:extent cx="4991100" cy="2623833"/>
                  <wp:effectExtent l="0" t="0" r="0" b="5080"/>
                  <wp:docPr id="1416795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51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988" cy="262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038D8" w14:textId="0D4224BF" w:rsidR="00AA74B6" w:rsidRPr="00C45650" w:rsidRDefault="00D77D48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D77D48">
              <w:rPr>
                <w:rFonts w:eastAsiaTheme="minorEastAsia"/>
                <w:sz w:val="24"/>
                <w:szCs w:val="24"/>
                <w:lang w:val="en-US" w:eastAsia="zh-CN"/>
              </w:rPr>
              <w:t>expect slightly stronger sales through the back half of the year</w:t>
            </w:r>
          </w:p>
        </w:tc>
      </w:tr>
    </w:tbl>
    <w:p w14:paraId="0F0CEB05" w14:textId="2869EADB" w:rsidR="002B6C11" w:rsidRDefault="002B6C11" w:rsidP="00317C05">
      <w:pPr>
        <w:rPr>
          <w:sz w:val="24"/>
          <w:szCs w:val="24"/>
          <w:lang w:val="en-US"/>
        </w:rPr>
      </w:pPr>
    </w:p>
    <w:tbl>
      <w:tblPr>
        <w:tblStyle w:val="a4"/>
        <w:tblW w:w="10516" w:type="dxa"/>
        <w:tblLook w:val="04A0" w:firstRow="1" w:lastRow="0" w:firstColumn="1" w:lastColumn="0" w:noHBand="0" w:noVBand="1"/>
      </w:tblPr>
      <w:tblGrid>
        <w:gridCol w:w="10516"/>
      </w:tblGrid>
      <w:tr w:rsidR="00FF3DEC" w:rsidRPr="00FF3DEC" w14:paraId="27E7B7E2" w14:textId="77777777" w:rsidTr="00764403">
        <w:trPr>
          <w:trHeight w:val="1556"/>
        </w:trPr>
        <w:tc>
          <w:tcPr>
            <w:tcW w:w="10516" w:type="dxa"/>
          </w:tcPr>
          <w:p w14:paraId="1648D09C" w14:textId="77777777" w:rsidR="00FF3DEC" w:rsidRDefault="00FF3DEC" w:rsidP="00035961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FF3DEC">
              <w:rPr>
                <w:b/>
                <w:bCs/>
                <w:sz w:val="24"/>
                <w:szCs w:val="24"/>
                <w:lang w:val="en-US"/>
              </w:rPr>
              <w:t xml:space="preserve">Earnings Announcements </w:t>
            </w:r>
          </w:p>
          <w:p w14:paraId="70FC31B8" w14:textId="77777777" w:rsidR="0057474E" w:rsidRPr="0057474E" w:rsidRDefault="0057474E" w:rsidP="0057474E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57474E">
              <w:rPr>
                <w:rFonts w:eastAsiaTheme="minorEastAsia"/>
                <w:sz w:val="24"/>
                <w:szCs w:val="24"/>
                <w:lang w:val="en-US" w:eastAsia="zh-CN"/>
              </w:rPr>
              <w:t>Deere (DE) reported fiscal Q1 earnings Thursday of $6.23 per diluted share, down from $6.55 a year earlier.</w:t>
            </w:r>
          </w:p>
          <w:p w14:paraId="160C53FC" w14:textId="77777777" w:rsidR="0057474E" w:rsidRPr="0057474E" w:rsidRDefault="0057474E" w:rsidP="0057474E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57474E">
              <w:rPr>
                <w:rFonts w:eastAsiaTheme="minorEastAsia"/>
                <w:sz w:val="24"/>
                <w:szCs w:val="24"/>
                <w:lang w:val="en-US" w:eastAsia="zh-CN"/>
              </w:rPr>
              <w:t>Analysts polled by Capital IQ expected $5.21.</w:t>
            </w:r>
          </w:p>
          <w:p w14:paraId="71FEB300" w14:textId="77777777" w:rsidR="0057474E" w:rsidRPr="0057474E" w:rsidRDefault="0057474E" w:rsidP="0057474E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57474E">
              <w:rPr>
                <w:rFonts w:eastAsiaTheme="minorEastAsia"/>
                <w:sz w:val="24"/>
                <w:szCs w:val="24"/>
                <w:lang w:val="en-US" w:eastAsia="zh-CN"/>
              </w:rPr>
              <w:t>Net sales for the quarter ended Jan. 28 were $12.19 billion compared with $12.65 billion a year earlier.</w:t>
            </w:r>
          </w:p>
          <w:p w14:paraId="1E0A7A3C" w14:textId="77777777" w:rsidR="00C45650" w:rsidRDefault="0057474E" w:rsidP="0057474E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57474E">
              <w:rPr>
                <w:rFonts w:eastAsiaTheme="minorEastAsia"/>
                <w:sz w:val="24"/>
                <w:szCs w:val="24"/>
                <w:lang w:val="en-US" w:eastAsia="zh-CN"/>
              </w:rPr>
              <w:t>Analysts polled by Capital IQ expected $10.33 billion.</w:t>
            </w:r>
          </w:p>
          <w:p w14:paraId="06AC3683" w14:textId="77777777" w:rsidR="0057474E" w:rsidRDefault="0057474E" w:rsidP="0057474E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</w:p>
          <w:p w14:paraId="464E9306" w14:textId="77777777" w:rsidR="0057474E" w:rsidRDefault="0057474E" w:rsidP="0057474E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b/>
                <w:bCs/>
                <w:sz w:val="24"/>
                <w:szCs w:val="24"/>
                <w:lang w:val="en-US" w:eastAsia="zh-CN"/>
              </w:rPr>
              <w:t>Next Earnings Day</w:t>
            </w:r>
          </w:p>
          <w:p w14:paraId="38A187E9" w14:textId="09F20DB1" w:rsidR="0057474E" w:rsidRPr="0057474E" w:rsidRDefault="0057474E" w:rsidP="0057474E">
            <w:pPr>
              <w:rPr>
                <w:rFonts w:eastAsiaTheme="minorEastAsia" w:hint="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sz w:val="24"/>
                <w:szCs w:val="24"/>
                <w:lang w:val="en-US" w:eastAsia="zh-CN"/>
              </w:rPr>
              <w:t>May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16</w:t>
            </w:r>
            <w:r w:rsidRPr="0057474E">
              <w:rPr>
                <w:rFonts w:eastAsiaTheme="minorEastAsia" w:hint="eastAsia"/>
                <w:sz w:val="24"/>
                <w:szCs w:val="24"/>
                <w:vertAlign w:val="superscript"/>
                <w:lang w:val="en-US" w:eastAsia="zh-CN"/>
              </w:rPr>
              <w:t>th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, 2024</w:t>
            </w:r>
          </w:p>
        </w:tc>
      </w:tr>
    </w:tbl>
    <w:p w14:paraId="5DF852A7" w14:textId="1A87B8F9" w:rsidR="00D27FAC" w:rsidRDefault="00D27FAC" w:rsidP="00317C05">
      <w:pPr>
        <w:rPr>
          <w:sz w:val="24"/>
          <w:szCs w:val="24"/>
          <w:lang w:val="en-US"/>
        </w:rPr>
      </w:pPr>
    </w:p>
    <w:tbl>
      <w:tblPr>
        <w:tblW w:w="10604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04"/>
      </w:tblGrid>
      <w:tr w:rsidR="00764403" w14:paraId="38A55215" w14:textId="77777777" w:rsidTr="00764403">
        <w:trPr>
          <w:trHeight w:val="1664"/>
        </w:trPr>
        <w:tc>
          <w:tcPr>
            <w:tcW w:w="10604" w:type="dxa"/>
          </w:tcPr>
          <w:p w14:paraId="0223CB9C" w14:textId="77777777" w:rsidR="0057474E" w:rsidRDefault="00764403" w:rsidP="00317C05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764403">
              <w:rPr>
                <w:b/>
                <w:bCs/>
                <w:sz w:val="24"/>
                <w:szCs w:val="24"/>
                <w:lang w:val="en-US"/>
              </w:rPr>
              <w:t>Catalysts excluding Earnings</w:t>
            </w:r>
          </w:p>
          <w:p w14:paraId="48F8E737" w14:textId="621CB39F" w:rsidR="00764403" w:rsidRDefault="00764403" w:rsidP="00317C05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764403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7474E" w:rsidRPr="0057474E">
              <w:rPr>
                <w:b/>
                <w:bCs/>
                <w:sz w:val="24"/>
                <w:szCs w:val="24"/>
                <w:lang w:val="en-US"/>
              </w:rPr>
              <w:drawing>
                <wp:inline distT="0" distB="0" distL="0" distR="0" wp14:anchorId="3DE1AFA8" wp14:editId="6F35D4A5">
                  <wp:extent cx="4045375" cy="2633663"/>
                  <wp:effectExtent l="0" t="0" r="0" b="0"/>
                  <wp:docPr id="20811344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13442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574" cy="264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61EC9" w14:textId="2D43D48D" w:rsidR="0057474E" w:rsidRDefault="0057474E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Downward revision of the EPS and average price target.</w:t>
            </w:r>
          </w:p>
          <w:p w14:paraId="5357ABD1" w14:textId="77777777" w:rsidR="008A7842" w:rsidRDefault="008A7842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</w:p>
          <w:p w14:paraId="46307870" w14:textId="05485386" w:rsidR="008A7842" w:rsidRDefault="008A7842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CNHI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’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s Mid-Term Earnings Release: May 3</w:t>
            </w:r>
            <w:r w:rsidRPr="008A7842">
              <w:rPr>
                <w:rFonts w:eastAsiaTheme="minorEastAsia" w:hint="eastAsia"/>
                <w:sz w:val="24"/>
                <w:szCs w:val="24"/>
                <w:vertAlign w:val="superscript"/>
                <w:lang w:val="en-US" w:eastAsia="zh-CN"/>
              </w:rPr>
              <w:t>rd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2024</w:t>
            </w:r>
          </w:p>
          <w:p w14:paraId="491541B9" w14:textId="25D2B1E0" w:rsidR="008A7842" w:rsidRPr="008A7842" w:rsidRDefault="008F7738" w:rsidP="00317C05">
            <w:pPr>
              <w:rPr>
                <w:rFonts w:eastAsiaTheme="minorEastAsia" w:hint="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CAT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’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s Earnings Release: Apr 26</w:t>
            </w:r>
            <w:r w:rsidRPr="008F7738">
              <w:rPr>
                <w:rFonts w:eastAsiaTheme="minorEastAsia" w:hint="eastAsia"/>
                <w:sz w:val="24"/>
                <w:szCs w:val="24"/>
                <w:vertAlign w:val="superscript"/>
                <w:lang w:val="en-US" w:eastAsia="zh-CN"/>
              </w:rPr>
              <w:t>th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2024</w:t>
            </w:r>
          </w:p>
          <w:p w14:paraId="13B5986D" w14:textId="02D23CDE" w:rsidR="006F4A36" w:rsidRPr="00764403" w:rsidRDefault="006F4A36" w:rsidP="00317C05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603613C" w14:textId="77777777" w:rsidR="00035961" w:rsidRDefault="00035961" w:rsidP="00317C05">
      <w:pPr>
        <w:rPr>
          <w:sz w:val="24"/>
          <w:szCs w:val="24"/>
          <w:lang w:val="en-US"/>
        </w:rPr>
      </w:pPr>
    </w:p>
    <w:p w14:paraId="53D6167F" w14:textId="1AB5FE76" w:rsidR="00764403" w:rsidRDefault="00764403" w:rsidP="00317C0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&lt;Insert choice of </w:t>
      </w:r>
      <w:proofErr w:type="spellStart"/>
      <w:r>
        <w:rPr>
          <w:sz w:val="24"/>
          <w:szCs w:val="24"/>
          <w:lang w:val="en-US"/>
        </w:rPr>
        <w:t>Technical’s</w:t>
      </w:r>
      <w:proofErr w:type="spellEnd"/>
      <w:r>
        <w:rPr>
          <w:sz w:val="24"/>
          <w:szCs w:val="24"/>
          <w:lang w:val="en-US"/>
        </w:rPr>
        <w:t xml:space="preserve"> and Price Action charts for timing and check short interest for path of least resistance.</w:t>
      </w:r>
      <w:r w:rsidR="007D6C10">
        <w:rPr>
          <w:sz w:val="24"/>
          <w:szCs w:val="24"/>
          <w:lang w:val="en-US"/>
        </w:rPr>
        <w:t>&gt;</w:t>
      </w:r>
    </w:p>
    <w:p w14:paraId="52EFA92B" w14:textId="5BEDFD46" w:rsidR="00035961" w:rsidRDefault="008A1E00" w:rsidP="00317C05">
      <w:pPr>
        <w:rPr>
          <w:rFonts w:eastAsiaTheme="minorEastAsia"/>
          <w:sz w:val="24"/>
          <w:szCs w:val="24"/>
          <w:lang w:val="en-US" w:eastAsia="zh-CN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806F89E" wp14:editId="0D7DCB82">
            <wp:extent cx="4357688" cy="2207260"/>
            <wp:effectExtent l="0" t="0" r="5080" b="2540"/>
            <wp:docPr id="3340720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19" cy="220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E6EED" w14:textId="56D7F524" w:rsidR="008A1E00" w:rsidRDefault="008A1E00" w:rsidP="00317C05">
      <w:pPr>
        <w:rPr>
          <w:rFonts w:eastAsiaTheme="minorEastAsia"/>
          <w:sz w:val="24"/>
          <w:szCs w:val="24"/>
          <w:lang w:val="en-US" w:eastAsia="zh-CN"/>
        </w:rPr>
      </w:pPr>
      <w:r>
        <w:rPr>
          <w:rFonts w:eastAsiaTheme="minorEastAsia" w:hint="eastAsia"/>
          <w:sz w:val="24"/>
          <w:szCs w:val="24"/>
          <w:lang w:val="en-US" w:eastAsia="zh-CN"/>
        </w:rPr>
        <w:t xml:space="preserve">See if the stock would break the </w:t>
      </w:r>
      <w:r>
        <w:rPr>
          <w:rFonts w:eastAsiaTheme="minorEastAsia"/>
          <w:sz w:val="24"/>
          <w:szCs w:val="24"/>
          <w:lang w:val="en-US" w:eastAsia="zh-CN"/>
        </w:rPr>
        <w:t>resistance</w:t>
      </w:r>
      <w:r>
        <w:rPr>
          <w:rFonts w:eastAsiaTheme="minorEastAsia" w:hint="eastAsia"/>
          <w:sz w:val="24"/>
          <w:szCs w:val="24"/>
          <w:lang w:val="en-US" w:eastAsia="zh-CN"/>
        </w:rPr>
        <w:t>. If it fails and starts to go down, then it would be a green light.</w:t>
      </w:r>
    </w:p>
    <w:p w14:paraId="24DF9226" w14:textId="7E59368A" w:rsidR="008A7842" w:rsidRDefault="008A1E00" w:rsidP="00317C05">
      <w:pPr>
        <w:rPr>
          <w:rFonts w:eastAsiaTheme="minorEastAsia" w:hint="eastAsia"/>
          <w:sz w:val="24"/>
          <w:szCs w:val="24"/>
          <w:lang w:val="en-US" w:eastAsia="zh-CN"/>
        </w:rPr>
      </w:pPr>
      <w:r>
        <w:rPr>
          <w:rFonts w:eastAsiaTheme="minorEastAsia" w:hint="eastAsia"/>
          <w:sz w:val="24"/>
          <w:szCs w:val="24"/>
          <w:lang w:val="en-US" w:eastAsia="zh-CN"/>
        </w:rPr>
        <w:t xml:space="preserve">20/60 SMA </w:t>
      </w:r>
      <w:r>
        <w:rPr>
          <w:rFonts w:eastAsiaTheme="minorEastAsia"/>
          <w:sz w:val="24"/>
          <w:szCs w:val="24"/>
          <w:lang w:val="en-US" w:eastAsia="zh-CN"/>
        </w:rPr>
        <w:t>does</w:t>
      </w:r>
      <w:r>
        <w:rPr>
          <w:rFonts w:eastAsiaTheme="minorEastAsia" w:hint="eastAsia"/>
          <w:sz w:val="24"/>
          <w:szCs w:val="24"/>
          <w:lang w:val="en-US" w:eastAsia="zh-CN"/>
        </w:rPr>
        <w:t xml:space="preserve"> suggest that the stock would trend downward. (RSI is rising at above-50 level, though</w:t>
      </w:r>
      <w:r w:rsidR="008A7842">
        <w:rPr>
          <w:rFonts w:eastAsiaTheme="minorEastAsia" w:hint="eastAsia"/>
          <w:sz w:val="24"/>
          <w:szCs w:val="24"/>
          <w:lang w:val="en-US" w:eastAsia="zh-CN"/>
        </w:rPr>
        <w:t>.</w:t>
      </w:r>
    </w:p>
    <w:p w14:paraId="206D7CE9" w14:textId="736D29A5" w:rsidR="008A7842" w:rsidRPr="008A1E00" w:rsidRDefault="008A7842" w:rsidP="00317C05">
      <w:pPr>
        <w:rPr>
          <w:rFonts w:eastAsiaTheme="minorEastAsia" w:hint="eastAsia"/>
          <w:sz w:val="24"/>
          <w:szCs w:val="24"/>
          <w:lang w:val="en-US" w:eastAsia="zh-CN"/>
        </w:rPr>
      </w:pPr>
      <w:r w:rsidRPr="008A7842">
        <w:rPr>
          <w:rFonts w:eastAsiaTheme="minorEastAsia"/>
          <w:sz w:val="24"/>
          <w:szCs w:val="24"/>
          <w:lang w:val="en-US" w:eastAsia="zh-CN"/>
        </w:rPr>
        <w:drawing>
          <wp:inline distT="0" distB="0" distL="0" distR="0" wp14:anchorId="3DE38179" wp14:editId="4DC2610A">
            <wp:extent cx="6645910" cy="2085975"/>
            <wp:effectExtent l="0" t="0" r="2540" b="9525"/>
            <wp:docPr id="778604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046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56709" cy="20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B734" w14:textId="77777777" w:rsidR="00035961" w:rsidRDefault="00035961" w:rsidP="00317C05">
      <w:pPr>
        <w:rPr>
          <w:sz w:val="24"/>
          <w:szCs w:val="24"/>
          <w:lang w:val="en-US"/>
        </w:rPr>
      </w:pPr>
    </w:p>
    <w:tbl>
      <w:tblPr>
        <w:tblW w:w="1062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20"/>
      </w:tblGrid>
      <w:tr w:rsidR="00764403" w14:paraId="0996E08F" w14:textId="77777777" w:rsidTr="00764403">
        <w:trPr>
          <w:trHeight w:val="885"/>
        </w:trPr>
        <w:tc>
          <w:tcPr>
            <w:tcW w:w="10620" w:type="dxa"/>
          </w:tcPr>
          <w:p w14:paraId="1A1DF042" w14:textId="2F9F7CCD" w:rsidR="00035961" w:rsidRPr="00035961" w:rsidRDefault="00035961" w:rsidP="008A7842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F184150" w14:textId="77777777" w:rsidR="00035961" w:rsidRPr="008A7842" w:rsidRDefault="00035961" w:rsidP="00317C05">
      <w:pPr>
        <w:rPr>
          <w:rFonts w:eastAsiaTheme="minorEastAsia" w:hint="eastAsia"/>
          <w:sz w:val="24"/>
          <w:szCs w:val="24"/>
          <w:lang w:val="en-US" w:eastAsia="zh-CN"/>
        </w:rPr>
      </w:pPr>
    </w:p>
    <w:sectPr w:rsidR="00035961" w:rsidRPr="008A7842" w:rsidSect="00C158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E0DA6" w14:textId="77777777" w:rsidR="00C15865" w:rsidRDefault="00C15865" w:rsidP="0030741C">
      <w:pPr>
        <w:spacing w:after="0" w:line="240" w:lineRule="auto"/>
      </w:pPr>
      <w:r>
        <w:separator/>
      </w:r>
    </w:p>
  </w:endnote>
  <w:endnote w:type="continuationSeparator" w:id="0">
    <w:p w14:paraId="68504B7C" w14:textId="77777777" w:rsidR="00C15865" w:rsidRDefault="00C15865" w:rsidP="0030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852DF" w14:textId="77777777" w:rsidR="00C15865" w:rsidRDefault="00C15865" w:rsidP="0030741C">
      <w:pPr>
        <w:spacing w:after="0" w:line="240" w:lineRule="auto"/>
      </w:pPr>
      <w:r>
        <w:separator/>
      </w:r>
    </w:p>
  </w:footnote>
  <w:footnote w:type="continuationSeparator" w:id="0">
    <w:p w14:paraId="530C8CD9" w14:textId="77777777" w:rsidR="00C15865" w:rsidRDefault="00C15865" w:rsidP="00307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F46BB"/>
    <w:multiLevelType w:val="hybridMultilevel"/>
    <w:tmpl w:val="764EFA4E"/>
    <w:lvl w:ilvl="0" w:tplc="F39ADAB8">
      <w:start w:val="5"/>
      <w:numFmt w:val="bullet"/>
      <w:lvlText w:val="·"/>
      <w:lvlJc w:val="left"/>
      <w:pPr>
        <w:ind w:left="720" w:hanging="360"/>
      </w:pPr>
      <w:rPr>
        <w:rFonts w:ascii="等线" w:eastAsia="等线" w:hAnsi="等线" w:cstheme="minorBidi" w:hint="eastAsia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023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A77"/>
    <w:rsid w:val="000263E1"/>
    <w:rsid w:val="00035961"/>
    <w:rsid w:val="00077560"/>
    <w:rsid w:val="000A328F"/>
    <w:rsid w:val="00112851"/>
    <w:rsid w:val="00143445"/>
    <w:rsid w:val="001F7E46"/>
    <w:rsid w:val="00245800"/>
    <w:rsid w:val="002B6C11"/>
    <w:rsid w:val="0030741C"/>
    <w:rsid w:val="00317C05"/>
    <w:rsid w:val="00342AF6"/>
    <w:rsid w:val="00386A36"/>
    <w:rsid w:val="00392964"/>
    <w:rsid w:val="004067BB"/>
    <w:rsid w:val="004329EB"/>
    <w:rsid w:val="00481907"/>
    <w:rsid w:val="004D2789"/>
    <w:rsid w:val="004F4C37"/>
    <w:rsid w:val="0057474E"/>
    <w:rsid w:val="005829EA"/>
    <w:rsid w:val="005C224F"/>
    <w:rsid w:val="00621470"/>
    <w:rsid w:val="006506AA"/>
    <w:rsid w:val="006F4A36"/>
    <w:rsid w:val="006F76F5"/>
    <w:rsid w:val="007433B7"/>
    <w:rsid w:val="00764403"/>
    <w:rsid w:val="007B3A54"/>
    <w:rsid w:val="007D6C10"/>
    <w:rsid w:val="008A1E00"/>
    <w:rsid w:val="008A74A6"/>
    <w:rsid w:val="008A7842"/>
    <w:rsid w:val="008B20A9"/>
    <w:rsid w:val="008F7738"/>
    <w:rsid w:val="00925934"/>
    <w:rsid w:val="00934954"/>
    <w:rsid w:val="00962E4D"/>
    <w:rsid w:val="009A0C0C"/>
    <w:rsid w:val="009C6524"/>
    <w:rsid w:val="009E4440"/>
    <w:rsid w:val="00A25E47"/>
    <w:rsid w:val="00A6438B"/>
    <w:rsid w:val="00AA74B6"/>
    <w:rsid w:val="00B24ADC"/>
    <w:rsid w:val="00B468C6"/>
    <w:rsid w:val="00B853BA"/>
    <w:rsid w:val="00B96875"/>
    <w:rsid w:val="00C15865"/>
    <w:rsid w:val="00C27BD8"/>
    <w:rsid w:val="00C44E23"/>
    <w:rsid w:val="00C45650"/>
    <w:rsid w:val="00CB7A77"/>
    <w:rsid w:val="00D27FAC"/>
    <w:rsid w:val="00D77D48"/>
    <w:rsid w:val="00DA5D19"/>
    <w:rsid w:val="00E03E79"/>
    <w:rsid w:val="00E666C9"/>
    <w:rsid w:val="00F85BD1"/>
    <w:rsid w:val="00FA515B"/>
    <w:rsid w:val="00FB048F"/>
    <w:rsid w:val="00FF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7169A8"/>
  <w15:chartTrackingRefBased/>
  <w15:docId w15:val="{CCFD122E-266E-46CF-9D6C-38A1163C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1">
    <w:name w:val="Medium List 2 Accent 1"/>
    <w:basedOn w:val="a1"/>
    <w:uiPriority w:val="66"/>
    <w:rsid w:val="002B6C1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a3">
    <w:name w:val="Hyperlink"/>
    <w:basedOn w:val="a0"/>
    <w:uiPriority w:val="99"/>
    <w:semiHidden/>
    <w:unhideWhenUsed/>
    <w:rsid w:val="00D27FAC"/>
    <w:rPr>
      <w:color w:val="0000FF"/>
      <w:u w:val="single"/>
    </w:rPr>
  </w:style>
  <w:style w:type="table" w:styleId="a4">
    <w:name w:val="Table Grid"/>
    <w:basedOn w:val="a1"/>
    <w:uiPriority w:val="39"/>
    <w:rsid w:val="00FF3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074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眉 字符"/>
    <w:basedOn w:val="a0"/>
    <w:link w:val="a5"/>
    <w:uiPriority w:val="99"/>
    <w:rsid w:val="0030741C"/>
    <w:rPr>
      <w:rFonts w:eastAsiaTheme="minorHAnsi"/>
    </w:rPr>
  </w:style>
  <w:style w:type="paragraph" w:styleId="a7">
    <w:name w:val="footer"/>
    <w:basedOn w:val="a"/>
    <w:link w:val="a8"/>
    <w:uiPriority w:val="99"/>
    <w:unhideWhenUsed/>
    <w:rsid w:val="003074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页脚 字符"/>
    <w:basedOn w:val="a0"/>
    <w:link w:val="a7"/>
    <w:uiPriority w:val="99"/>
    <w:rsid w:val="0030741C"/>
    <w:rPr>
      <w:rFonts w:eastAsiaTheme="minorHAnsi"/>
    </w:rPr>
  </w:style>
  <w:style w:type="paragraph" w:styleId="a9">
    <w:name w:val="List Paragraph"/>
    <w:basedOn w:val="a"/>
    <w:uiPriority w:val="34"/>
    <w:qFormat/>
    <w:rsid w:val="000A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460</Words>
  <Characters>2401</Characters>
  <Application>Microsoft Office Word</Application>
  <DocSecurity>0</DocSecurity>
  <Lines>76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Kreil</dc:creator>
  <cp:keywords/>
  <dc:description/>
  <cp:lastModifiedBy>瑞泽 夏</cp:lastModifiedBy>
  <cp:revision>3</cp:revision>
  <dcterms:created xsi:type="dcterms:W3CDTF">2024-03-14T12:01:00Z</dcterms:created>
  <dcterms:modified xsi:type="dcterms:W3CDTF">2024-03-18T08:02:00Z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e4c0300830b8eec0f030078dc401265e65e78dbddc2c20f7b03730beb69e1a67</vt:lpwstr>
  </property>
</Properties>
</file>