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DE6E" w14:textId="2DF85F12" w:rsidR="008E6C10" w:rsidRDefault="00CF1F22">
      <w:pPr>
        <w:rPr>
          <w:rFonts w:ascii="Arial" w:hAnsi="Arial" w:cs="Arial"/>
        </w:rPr>
      </w:pPr>
      <w:r>
        <w:t>X</w:t>
      </w:r>
      <w:r>
        <w:rPr>
          <w:rFonts w:hint="eastAsia"/>
        </w:rPr>
        <w:t>`</w:t>
      </w:r>
      <w:r w:rsidR="003B70A9">
        <w:rPr>
          <w:rFonts w:hint="eastAsia"/>
        </w:rPr>
        <w:t xml:space="preserve">                                                  </w:t>
      </w:r>
      <w:r w:rsidR="003B70A9">
        <w:rPr>
          <w:rFonts w:ascii="Arial" w:hAnsi="Arial" w:cs="Arial" w:hint="eastAsia"/>
        </w:rPr>
        <w:t xml:space="preserve">CONSTRUCTION </w:t>
      </w:r>
      <w:r w:rsidR="003B70A9">
        <w:rPr>
          <w:rFonts w:ascii="Arial" w:hAnsi="Arial" w:cs="Arial"/>
        </w:rPr>
        <w:t>PARTNERS</w:t>
      </w:r>
    </w:p>
    <w:p w14:paraId="5363564D" w14:textId="5F06288E" w:rsidR="003B70A9" w:rsidRDefault="003B70A9">
      <w:pPr>
        <w:rPr>
          <w:rFonts w:ascii="Arial" w:hAnsi="Arial" w:cs="Arial"/>
        </w:rPr>
      </w:pPr>
      <w:r>
        <w:rPr>
          <w:rFonts w:ascii="Arial" w:hAnsi="Arial" w:cs="Arial" w:hint="eastAsia"/>
        </w:rPr>
        <w:t>2023 10-K:</w:t>
      </w:r>
    </w:p>
    <w:p w14:paraId="091C7160" w14:textId="5F12BC7E" w:rsidR="003B70A9" w:rsidRDefault="003B70A9">
      <w:pPr>
        <w:rPr>
          <w:rFonts w:ascii="Arial" w:hAnsi="Arial" w:cs="Arial"/>
        </w:rPr>
      </w:pPr>
      <w:r>
        <w:rPr>
          <w:rFonts w:ascii="Arial" w:hAnsi="Arial" w:cs="Arial" w:hint="eastAsia"/>
        </w:rPr>
        <w:t>Primary Operations:</w:t>
      </w:r>
    </w:p>
    <w:p w14:paraId="6992E7D8" w14:textId="5FACDCFC" w:rsidR="003B70A9" w:rsidRPr="003B70A9" w:rsidRDefault="003B70A9" w:rsidP="003B70A9">
      <w:pPr>
        <w:pStyle w:val="ListParagraph"/>
        <w:numPr>
          <w:ilvl w:val="0"/>
          <w:numId w:val="1"/>
        </w:numPr>
        <w:rPr>
          <w:rFonts w:ascii="Arial" w:hAnsi="Arial" w:cs="Arial"/>
        </w:rPr>
      </w:pPr>
      <w:r>
        <w:rPr>
          <w:rFonts w:ascii="Times New Roman" w:hAnsi="Times New Roman" w:cs="Times New Roman"/>
          <w:color w:val="000000"/>
          <w:sz w:val="20"/>
          <w:szCs w:val="20"/>
        </w:rPr>
        <w:t>manufacturing and distributing hot mix asphalt</w:t>
      </w:r>
      <w:r>
        <w:rPr>
          <w:rFonts w:ascii="Times New Roman" w:hAnsi="Times New Roman" w:cs="Times New Roman" w:hint="eastAsia"/>
          <w:color w:val="000000"/>
          <w:sz w:val="20"/>
          <w:szCs w:val="20"/>
        </w:rPr>
        <w:t xml:space="preserve"> </w:t>
      </w:r>
      <w:r w:rsidRPr="003B70A9">
        <w:rPr>
          <w:rFonts w:ascii="Times New Roman" w:hAnsi="Times New Roman" w:cs="Times New Roman"/>
          <w:color w:val="000000"/>
          <w:sz w:val="20"/>
          <w:szCs w:val="20"/>
        </w:rPr>
        <w:t>internal use and sales to third parties in connection with construction projects</w:t>
      </w:r>
    </w:p>
    <w:p w14:paraId="556471BD" w14:textId="43DB0D76" w:rsidR="003B70A9" w:rsidRPr="003B70A9" w:rsidRDefault="003B70A9" w:rsidP="003B70A9">
      <w:pPr>
        <w:pStyle w:val="ListParagraph"/>
        <w:numPr>
          <w:ilvl w:val="0"/>
          <w:numId w:val="1"/>
        </w:numPr>
        <w:rPr>
          <w:rFonts w:ascii="Arial" w:hAnsi="Arial" w:cs="Arial"/>
        </w:rPr>
      </w:pPr>
      <w:r>
        <w:rPr>
          <w:rFonts w:ascii="Times New Roman" w:hAnsi="Times New Roman" w:cs="Times New Roman" w:hint="eastAsia"/>
          <w:color w:val="000000"/>
          <w:sz w:val="20"/>
          <w:szCs w:val="20"/>
        </w:rPr>
        <w:t>P</w:t>
      </w:r>
      <w:r>
        <w:rPr>
          <w:rFonts w:ascii="Times New Roman" w:hAnsi="Times New Roman" w:cs="Times New Roman"/>
          <w:color w:val="000000"/>
          <w:sz w:val="20"/>
          <w:szCs w:val="20"/>
        </w:rPr>
        <w:t>aving activities, including the construction of roadway base layers and application of asphalt pavement</w:t>
      </w:r>
    </w:p>
    <w:p w14:paraId="2E2E23A3" w14:textId="1C8EDE7B" w:rsidR="003B70A9" w:rsidRPr="003B70A9" w:rsidRDefault="003B70A9" w:rsidP="003B70A9">
      <w:pPr>
        <w:pStyle w:val="ListParagraph"/>
        <w:numPr>
          <w:ilvl w:val="0"/>
          <w:numId w:val="1"/>
        </w:numPr>
        <w:rPr>
          <w:rFonts w:ascii="Arial" w:hAnsi="Arial" w:cs="Arial"/>
        </w:rPr>
      </w:pPr>
      <w:r>
        <w:rPr>
          <w:rFonts w:ascii="Times New Roman" w:hAnsi="Times New Roman" w:cs="Times New Roman"/>
          <w:color w:val="000000"/>
          <w:sz w:val="20"/>
          <w:szCs w:val="20"/>
        </w:rPr>
        <w:t>site development, including the installation of utility and drainage systems</w:t>
      </w:r>
    </w:p>
    <w:p w14:paraId="594C507F" w14:textId="469003A0" w:rsidR="003B70A9" w:rsidRPr="003B70A9" w:rsidRDefault="003B70A9" w:rsidP="003B70A9">
      <w:pPr>
        <w:pStyle w:val="ListParagraph"/>
        <w:numPr>
          <w:ilvl w:val="0"/>
          <w:numId w:val="1"/>
        </w:numPr>
        <w:rPr>
          <w:rFonts w:ascii="Arial" w:hAnsi="Arial" w:cs="Arial"/>
        </w:rPr>
      </w:pPr>
      <w:r>
        <w:rPr>
          <w:rFonts w:ascii="Times New Roman" w:hAnsi="Times New Roman" w:cs="Times New Roman"/>
          <w:color w:val="000000"/>
          <w:sz w:val="20"/>
          <w:szCs w:val="20"/>
        </w:rPr>
        <w:t>mining aggregates, such as sand, gravel and construction stone, that are used as raw materials in the production of HMA and for sales to third parties</w:t>
      </w:r>
    </w:p>
    <w:p w14:paraId="67F522C6" w14:textId="15D20E9C" w:rsidR="003B70A9" w:rsidRDefault="003B70A9" w:rsidP="003B70A9">
      <w:pPr>
        <w:rPr>
          <w:rFonts w:ascii="Arial" w:hAnsi="Arial" w:cs="Arial"/>
        </w:rPr>
      </w:pPr>
      <w:r>
        <w:rPr>
          <w:rFonts w:ascii="Arial" w:hAnsi="Arial" w:cs="Arial" w:hint="eastAsia"/>
        </w:rPr>
        <w:t>Acquisition Growth Strategy. HMA Paving and Construction Industry</w:t>
      </w:r>
    </w:p>
    <w:p w14:paraId="7D00C799" w14:textId="77777777" w:rsidR="003B70A9" w:rsidRDefault="003B70A9" w:rsidP="003B70A9">
      <w:pPr>
        <w:rPr>
          <w:rFonts w:ascii="Arial" w:hAnsi="Arial" w:cs="Arial"/>
        </w:rPr>
      </w:pPr>
    </w:p>
    <w:p w14:paraId="3E9537F7" w14:textId="501F33B6" w:rsidR="00B9083E" w:rsidRDefault="00B9083E" w:rsidP="003B70A9">
      <w:pPr>
        <w:rPr>
          <w:rFonts w:ascii="Arial" w:hAnsi="Arial" w:cs="Arial"/>
        </w:rPr>
      </w:pPr>
      <w:r>
        <w:rPr>
          <w:rFonts w:ascii="Arial" w:hAnsi="Arial" w:cs="Arial" w:hint="eastAsia"/>
        </w:rPr>
        <w:t>2023 Developments:</w:t>
      </w:r>
    </w:p>
    <w:p w14:paraId="69F268C7" w14:textId="3E770C91" w:rsidR="00B9083E" w:rsidRDefault="00B9083E" w:rsidP="00B9083E">
      <w:pPr>
        <w:pStyle w:val="ListParagraph"/>
        <w:numPr>
          <w:ilvl w:val="0"/>
          <w:numId w:val="2"/>
        </w:numPr>
        <w:rPr>
          <w:rFonts w:ascii="Arial" w:hAnsi="Arial" w:cs="Arial"/>
        </w:rPr>
      </w:pPr>
      <w:r>
        <w:rPr>
          <w:rFonts w:ascii="Arial" w:hAnsi="Arial" w:cs="Arial" w:hint="eastAsia"/>
        </w:rPr>
        <w:t xml:space="preserve">Five </w:t>
      </w:r>
      <w:r>
        <w:rPr>
          <w:rFonts w:ascii="Arial" w:hAnsi="Arial" w:cs="Arial"/>
        </w:rPr>
        <w:t>acquisitions</w:t>
      </w:r>
      <w:r>
        <w:rPr>
          <w:rFonts w:ascii="Arial" w:hAnsi="Arial" w:cs="Arial" w:hint="eastAsia"/>
        </w:rPr>
        <w:t xml:space="preserve"> across four states, added 8 asphalt plants </w:t>
      </w:r>
    </w:p>
    <w:p w14:paraId="5F8F8313" w14:textId="31F2AE94" w:rsidR="00B9083E" w:rsidRDefault="00B9083E" w:rsidP="00B9083E">
      <w:pPr>
        <w:pStyle w:val="ListParagraph"/>
        <w:ind w:left="360"/>
        <w:rPr>
          <w:rFonts w:ascii="Arial" w:hAnsi="Arial" w:cs="Arial"/>
        </w:rPr>
      </w:pPr>
      <w:r>
        <w:rPr>
          <w:rFonts w:ascii="Arial" w:hAnsi="Arial" w:cs="Arial"/>
        </w:rPr>
        <w:t>Totaled</w:t>
      </w:r>
      <w:r>
        <w:rPr>
          <w:rFonts w:ascii="Arial" w:hAnsi="Arial" w:cs="Arial" w:hint="eastAsia"/>
        </w:rPr>
        <w:t xml:space="preserve"> $92 million</w:t>
      </w:r>
    </w:p>
    <w:p w14:paraId="5C3EC81F" w14:textId="2264DD0F" w:rsidR="00B9083E" w:rsidRDefault="00B9083E" w:rsidP="00B9083E">
      <w:pPr>
        <w:pStyle w:val="ListParagraph"/>
        <w:ind w:left="360"/>
        <w:rPr>
          <w:rFonts w:ascii="Arial" w:hAnsi="Arial" w:cs="Arial"/>
        </w:rPr>
      </w:pPr>
      <w:r>
        <w:rPr>
          <w:rFonts w:ascii="Arial" w:hAnsi="Arial" w:cs="Arial" w:hint="eastAsia"/>
        </w:rPr>
        <w:t>Disposal of a quarry</w:t>
      </w:r>
    </w:p>
    <w:p w14:paraId="05ECE1DB" w14:textId="4302566F" w:rsidR="00B9083E" w:rsidRDefault="00B9083E" w:rsidP="00B9083E">
      <w:pPr>
        <w:pStyle w:val="ListParagraph"/>
        <w:ind w:left="360"/>
        <w:rPr>
          <w:rFonts w:ascii="Arial" w:hAnsi="Arial" w:cs="Arial"/>
        </w:rPr>
      </w:pPr>
      <w:r>
        <w:rPr>
          <w:rFonts w:ascii="Arial" w:hAnsi="Arial" w:cs="Arial" w:hint="eastAsia"/>
        </w:rPr>
        <w:t>Totaled $37 million in cash proceed &amp; facility exchange of $5.4 million</w:t>
      </w:r>
    </w:p>
    <w:p w14:paraId="52E9CCEF" w14:textId="302F1945" w:rsidR="00B9083E" w:rsidRDefault="00B9083E" w:rsidP="00B9083E">
      <w:pPr>
        <w:pStyle w:val="ListParagraph"/>
        <w:numPr>
          <w:ilvl w:val="0"/>
          <w:numId w:val="2"/>
        </w:numPr>
        <w:rPr>
          <w:rFonts w:ascii="Arial" w:hAnsi="Arial" w:cs="Arial"/>
        </w:rPr>
      </w:pPr>
      <w:r>
        <w:rPr>
          <w:rFonts w:ascii="Arial" w:hAnsi="Arial" w:cs="Arial" w:hint="eastAsia"/>
        </w:rPr>
        <w:t>Inflation. Inflation severely impacted the cost of inputs of ROAD, including the wage costs and costs of raw materials to make HMA</w:t>
      </w:r>
    </w:p>
    <w:p w14:paraId="792EA944" w14:textId="77777777" w:rsidR="00B9083E" w:rsidRDefault="00B9083E" w:rsidP="00B9083E">
      <w:pPr>
        <w:rPr>
          <w:rFonts w:ascii="Arial" w:hAnsi="Arial" w:cs="Arial"/>
        </w:rPr>
      </w:pPr>
    </w:p>
    <w:p w14:paraId="445C740E" w14:textId="7B5912FC" w:rsidR="00B9083E" w:rsidRDefault="00B9083E" w:rsidP="00B9083E">
      <w:pPr>
        <w:rPr>
          <w:rFonts w:ascii="Arial" w:hAnsi="Arial" w:cs="Arial"/>
        </w:rPr>
      </w:pPr>
      <w:r>
        <w:rPr>
          <w:rFonts w:ascii="Arial" w:hAnsi="Arial" w:cs="Arial" w:hint="eastAsia"/>
        </w:rPr>
        <w:t>Our Industry:</w:t>
      </w:r>
    </w:p>
    <w:p w14:paraId="0D1F0370" w14:textId="297F74C8" w:rsidR="00B9083E" w:rsidRDefault="00FD14D4" w:rsidP="00B9083E">
      <w:pPr>
        <w:rPr>
          <w:rFonts w:ascii="Arial" w:hAnsi="Arial" w:cs="Arial"/>
        </w:rPr>
      </w:pPr>
      <w:r>
        <w:rPr>
          <w:rFonts w:ascii="Arial" w:hAnsi="Arial" w:cs="Arial" w:hint="eastAsia"/>
        </w:rPr>
        <w:t>H</w:t>
      </w:r>
      <w:r>
        <w:rPr>
          <w:rFonts w:ascii="Arial" w:hAnsi="Arial" w:cs="Arial"/>
        </w:rPr>
        <w:t>i</w:t>
      </w:r>
      <w:r>
        <w:rPr>
          <w:rFonts w:ascii="Arial" w:hAnsi="Arial" w:cs="Arial" w:hint="eastAsia"/>
        </w:rPr>
        <w:t xml:space="preserve">ghway &amp; Road Construction Industry, Asphalt Paving </w:t>
      </w:r>
      <w:r>
        <w:rPr>
          <w:rFonts w:ascii="Arial" w:hAnsi="Arial" w:cs="Arial"/>
        </w:rPr>
        <w:t>Materials</w:t>
      </w:r>
      <w:r>
        <w:rPr>
          <w:rFonts w:ascii="Arial" w:hAnsi="Arial" w:cs="Arial" w:hint="eastAsia"/>
        </w:rPr>
        <w:t xml:space="preserve"> and Services Segment</w:t>
      </w:r>
    </w:p>
    <w:p w14:paraId="77D62282" w14:textId="1A9DA4FA" w:rsidR="00FD14D4" w:rsidRDefault="00FD14D4" w:rsidP="00B9083E">
      <w:pPr>
        <w:rPr>
          <w:rFonts w:ascii="Arial" w:hAnsi="Arial" w:cs="Arial"/>
        </w:rPr>
      </w:pPr>
      <w:r>
        <w:rPr>
          <w:rFonts w:ascii="Arial" w:hAnsi="Arial" w:cs="Arial" w:hint="eastAsia"/>
        </w:rPr>
        <w:t xml:space="preserve">Rapid Growth Driven by </w:t>
      </w:r>
      <w:r>
        <w:rPr>
          <w:rFonts w:ascii="Arial" w:hAnsi="Arial" w:cs="Arial"/>
        </w:rPr>
        <w:t xml:space="preserve">the </w:t>
      </w:r>
      <w:r w:rsidRPr="00FD14D4">
        <w:rPr>
          <w:rFonts w:ascii="Arial" w:hAnsi="Arial" w:cs="Arial" w:hint="eastAsia"/>
          <w:color w:val="FF0000"/>
        </w:rPr>
        <w:t>Department of Transportation</w:t>
      </w:r>
      <w:r>
        <w:rPr>
          <w:rFonts w:ascii="Arial" w:hAnsi="Arial" w:cs="Arial" w:hint="eastAsia"/>
        </w:rPr>
        <w:t xml:space="preserve"> Budget</w:t>
      </w:r>
    </w:p>
    <w:p w14:paraId="2C3B6052" w14:textId="6787F93D" w:rsidR="00FD14D4" w:rsidRDefault="00FD14D4" w:rsidP="00B9083E">
      <w:pPr>
        <w:rPr>
          <w:rFonts w:ascii="Arial" w:hAnsi="Arial" w:cs="Arial"/>
        </w:rPr>
      </w:pPr>
      <w:r w:rsidRPr="00FD14D4">
        <w:rPr>
          <w:rFonts w:ascii="Arial" w:hAnsi="Arial" w:cs="Arial" w:hint="eastAsia"/>
          <w:color w:val="FF0000"/>
        </w:rPr>
        <w:t>Non-Discretionary</w:t>
      </w:r>
      <w:r>
        <w:rPr>
          <w:rFonts w:ascii="Arial" w:hAnsi="Arial" w:cs="Arial" w:hint="eastAsia"/>
        </w:rPr>
        <w:t xml:space="preserve"> Industry, </w:t>
      </w:r>
      <w:r>
        <w:rPr>
          <w:rFonts w:ascii="Arial" w:hAnsi="Arial" w:cs="Arial"/>
        </w:rPr>
        <w:t>heavily</w:t>
      </w:r>
      <w:r>
        <w:rPr>
          <w:rFonts w:ascii="Arial" w:hAnsi="Arial" w:cs="Arial" w:hint="eastAsia"/>
        </w:rPr>
        <w:t xml:space="preserve"> rely on govt policies</w:t>
      </w:r>
    </w:p>
    <w:p w14:paraId="0BA7F0D2" w14:textId="667177B8" w:rsidR="00FD14D4" w:rsidRDefault="00FD14D4" w:rsidP="00B9083E">
      <w:pPr>
        <w:rPr>
          <w:rFonts w:ascii="Arial" w:hAnsi="Arial" w:cs="Arial"/>
        </w:rPr>
      </w:pPr>
      <w:r>
        <w:rPr>
          <w:rFonts w:ascii="Arial" w:hAnsi="Arial" w:cs="Arial" w:hint="eastAsia"/>
        </w:rPr>
        <w:t xml:space="preserve">Operations Primarily </w:t>
      </w:r>
      <w:r w:rsidRPr="00FD14D4">
        <w:rPr>
          <w:rFonts w:ascii="Arial" w:hAnsi="Arial" w:cs="Arial"/>
        </w:rPr>
        <w:t>across Alabama, Florida, Georgia, North Carolina, South Carolina</w:t>
      </w:r>
      <w:r>
        <w:rPr>
          <w:rFonts w:ascii="Arial" w:hAnsi="Arial" w:cs="Arial"/>
        </w:rPr>
        <w:t>,</w:t>
      </w:r>
      <w:r w:rsidRPr="00FD14D4">
        <w:rPr>
          <w:rFonts w:ascii="Arial" w:hAnsi="Arial" w:cs="Arial"/>
        </w:rPr>
        <w:t xml:space="preserve"> and Tennessee</w:t>
      </w:r>
    </w:p>
    <w:p w14:paraId="24409202" w14:textId="4B8BF707" w:rsidR="00FD14D4" w:rsidRDefault="00FD14D4" w:rsidP="00B9083E">
      <w:pPr>
        <w:rPr>
          <w:rFonts w:ascii="Arial" w:hAnsi="Arial" w:cs="Arial"/>
        </w:rPr>
      </w:pPr>
      <w:r>
        <w:rPr>
          <w:rFonts w:ascii="Arial" w:hAnsi="Arial" w:cs="Arial" w:hint="eastAsia"/>
        </w:rPr>
        <w:t>Customers: 63% Publicly Funded Projects, 37% Privately Funded Projects</w:t>
      </w:r>
      <w:r w:rsidR="007C2A3C">
        <w:rPr>
          <w:rFonts w:ascii="Arial" w:hAnsi="Arial" w:cs="Arial" w:hint="eastAsia"/>
        </w:rPr>
        <w:t xml:space="preserve"> (with diversification in contracts)</w:t>
      </w:r>
      <w:r w:rsidR="008F52E4">
        <w:rPr>
          <w:rFonts w:ascii="Arial" w:hAnsi="Arial" w:cs="Arial"/>
        </w:rPr>
        <w:tab/>
      </w:r>
    </w:p>
    <w:p w14:paraId="1BF2C428" w14:textId="35864528" w:rsidR="007C2A3C" w:rsidRDefault="007C2A3C" w:rsidP="00B9083E">
      <w:pPr>
        <w:rPr>
          <w:rFonts w:ascii="Arial" w:hAnsi="Arial" w:cs="Arial"/>
        </w:rPr>
      </w:pPr>
      <w:r>
        <w:rPr>
          <w:rFonts w:ascii="Arial" w:hAnsi="Arial" w:cs="Arial" w:hint="eastAsia"/>
        </w:rPr>
        <w:t>Type of Contracts: Public Projects: Primarily Fixed Unit Price Contracts</w:t>
      </w:r>
    </w:p>
    <w:p w14:paraId="3B1843A3" w14:textId="30F09B7C" w:rsidR="00FD14D4" w:rsidRPr="00FD14D4" w:rsidRDefault="007C2A3C" w:rsidP="00B9083E">
      <w:pPr>
        <w:rPr>
          <w:rFonts w:ascii="Arial" w:hAnsi="Arial" w:cs="Arial"/>
        </w:rPr>
      </w:pPr>
      <w:r>
        <w:rPr>
          <w:rFonts w:ascii="Arial" w:hAnsi="Arial" w:cs="Arial" w:hint="eastAsia"/>
        </w:rPr>
        <w:t xml:space="preserve">                              Private Projects: Primary Fixed total Price Contracts</w:t>
      </w:r>
    </w:p>
    <w:p w14:paraId="041B4747" w14:textId="4C6B7163" w:rsidR="00B9083E" w:rsidRDefault="00E76528" w:rsidP="00E76528">
      <w:pPr>
        <w:rPr>
          <w:rFonts w:ascii="Times New Roman" w:hAnsi="Times New Roman" w:cs="Times New Roman"/>
          <w:color w:val="000000"/>
          <w:sz w:val="20"/>
          <w:szCs w:val="20"/>
        </w:rPr>
      </w:pPr>
      <w:r w:rsidRPr="00E76528">
        <w:rPr>
          <w:rFonts w:ascii="Times New Roman" w:hAnsi="Times New Roman" w:cs="Times New Roman"/>
          <w:b/>
          <w:bCs/>
          <w:sz w:val="20"/>
          <w:szCs w:val="20"/>
        </w:rPr>
        <w:t>“Contract Backlog”</w:t>
      </w:r>
      <w:r w:rsidRPr="00E76528">
        <w:rPr>
          <w:rFonts w:ascii="Times New Roman" w:hAnsi="Times New Roman" w:cs="Times New Roman"/>
          <w:b/>
          <w:bCs/>
          <w:sz w:val="18"/>
          <w:szCs w:val="18"/>
        </w:rPr>
        <w:t>:</w:t>
      </w:r>
      <w:r>
        <w:rPr>
          <w:rFonts w:ascii="Arial" w:hAnsi="Arial" w:cs="Arial" w:hint="eastAsia"/>
        </w:rPr>
        <w:t xml:space="preserve"> </w:t>
      </w:r>
      <w:r>
        <w:rPr>
          <w:rFonts w:ascii="Times New Roman" w:hAnsi="Times New Roman" w:cs="Times New Roman"/>
          <w:color w:val="000000"/>
          <w:sz w:val="20"/>
          <w:szCs w:val="20"/>
        </w:rPr>
        <w:t>is a financial measure that generally reflects the dollar value of work that the Company expects to perform in the future.</w:t>
      </w:r>
      <w:r>
        <w:rPr>
          <w:rFonts w:ascii="Times New Roman" w:hAnsi="Times New Roman" w:cs="Times New Roman" w:hint="eastAsia"/>
          <w:color w:val="000000"/>
          <w:sz w:val="20"/>
          <w:szCs w:val="20"/>
        </w:rPr>
        <w:t xml:space="preserve"> </w:t>
      </w:r>
      <w:r>
        <w:rPr>
          <w:rFonts w:ascii="Times New Roman" w:hAnsi="Times New Roman" w:cs="Times New Roman"/>
          <w:color w:val="000000"/>
          <w:sz w:val="20"/>
          <w:szCs w:val="20"/>
        </w:rPr>
        <w:t>We generally include a construction project in our contract backlog at the time it is awarded and to the extent we believe funding is probable. Our backlog generally consists of uncompleted work on contracts in progress and contracts for which we have executed a contract but have not commenced the work.</w:t>
      </w:r>
    </w:p>
    <w:p w14:paraId="0CA5D22D" w14:textId="77777777" w:rsidR="00E76528" w:rsidRDefault="00E76528" w:rsidP="00E76528">
      <w:pPr>
        <w:rPr>
          <w:rFonts w:ascii="Times New Roman" w:hAnsi="Times New Roman" w:cs="Times New Roman"/>
          <w:color w:val="000000"/>
          <w:sz w:val="20"/>
          <w:szCs w:val="20"/>
        </w:rPr>
      </w:pPr>
      <w:r>
        <w:rPr>
          <w:rFonts w:ascii="Arial" w:hAnsi="Arial" w:cs="Arial" w:hint="eastAsia"/>
        </w:rPr>
        <w:t xml:space="preserve">Competition: </w:t>
      </w:r>
      <w:r>
        <w:rPr>
          <w:rFonts w:ascii="Times New Roman" w:hAnsi="Times New Roman" w:cs="Times New Roman"/>
          <w:color w:val="000000"/>
          <w:sz w:val="20"/>
          <w:szCs w:val="20"/>
        </w:rPr>
        <w:t>Competition is constrained in our industry because participants are limited by the distance that materials can be efficiently transported, resulting in a fragmented market with thousands of participants nationwide, many of which are local or regional operators. </w:t>
      </w:r>
    </w:p>
    <w:p w14:paraId="19A10BB4" w14:textId="404DACD1" w:rsidR="00E76528" w:rsidRDefault="00E76528" w:rsidP="00E76528">
      <w:pPr>
        <w:ind w:firstLineChars="600" w:firstLine="1200"/>
        <w:rPr>
          <w:rFonts w:ascii="Times New Roman" w:hAnsi="Times New Roman" w:cs="Times New Roman"/>
          <w:color w:val="000000"/>
          <w:sz w:val="20"/>
          <w:szCs w:val="20"/>
        </w:rPr>
      </w:pPr>
      <w:r w:rsidRPr="00E76528">
        <w:rPr>
          <w:rFonts w:ascii="Times New Roman" w:hAnsi="Times New Roman" w:cs="Times New Roman" w:hint="eastAsia"/>
          <w:color w:val="000000"/>
          <w:sz w:val="20"/>
          <w:szCs w:val="20"/>
        </w:rPr>
        <w:t>Competition Factors</w:t>
      </w:r>
      <w:r w:rsidRPr="00E76528">
        <w:rPr>
          <w:rFonts w:ascii="Times New Roman" w:hAnsi="Times New Roman" w:cs="Times New Roman" w:hint="eastAsia"/>
          <w:b/>
          <w:bCs/>
          <w:color w:val="000000"/>
          <w:sz w:val="20"/>
          <w:szCs w:val="20"/>
        </w:rPr>
        <w:t>:</w:t>
      </w:r>
      <w:r w:rsidRPr="00E76528">
        <w:rPr>
          <w:rFonts w:ascii="Times New Roman" w:hAnsi="Times New Roman" w:cs="Times New Roman" w:hint="eastAsia"/>
          <w:color w:val="000000"/>
          <w:sz w:val="20"/>
          <w:szCs w:val="20"/>
        </w:rPr>
        <w:t xml:space="preserve"> </w:t>
      </w:r>
      <w:r w:rsidRPr="00E76528">
        <w:rPr>
          <w:rFonts w:ascii="Times New Roman" w:hAnsi="Times New Roman" w:cs="Times New Roman"/>
          <w:color w:val="000000"/>
          <w:sz w:val="20"/>
          <w:szCs w:val="20"/>
        </w:rPr>
        <w:t>price, estimating abilities, knowledge of local markets and conditions, project management, financial strength, reputation for quality, aggregate materials availability and machinery and equipment</w:t>
      </w:r>
    </w:p>
    <w:p w14:paraId="0D1A1A3C" w14:textId="77777777" w:rsidR="007844F2" w:rsidRDefault="00E76528" w:rsidP="00E76528">
      <w:pPr>
        <w:rPr>
          <w:rFonts w:ascii="Arial" w:hAnsi="Arial" w:cs="Arial"/>
          <w:color w:val="FF0000"/>
          <w:szCs w:val="21"/>
        </w:rPr>
      </w:pPr>
      <w:r w:rsidRPr="00E76528">
        <w:rPr>
          <w:rFonts w:ascii="Arial" w:hAnsi="Arial" w:cs="Arial"/>
          <w:color w:val="000000"/>
          <w:szCs w:val="21"/>
        </w:rPr>
        <w:t>Seasonality:</w:t>
      </w:r>
      <w:r>
        <w:rPr>
          <w:rFonts w:ascii="Arial" w:hAnsi="Arial" w:cs="Arial" w:hint="eastAsia"/>
          <w:color w:val="000000"/>
          <w:szCs w:val="21"/>
        </w:rPr>
        <w:t xml:space="preserve"> Severe weather </w:t>
      </w:r>
      <w:r>
        <w:rPr>
          <w:rFonts w:ascii="Arial" w:hAnsi="Arial" w:cs="Arial"/>
          <w:color w:val="000000"/>
          <w:szCs w:val="21"/>
        </w:rPr>
        <w:t>conditions</w:t>
      </w:r>
      <w:r>
        <w:rPr>
          <w:rFonts w:ascii="Arial" w:hAnsi="Arial" w:cs="Arial" w:hint="eastAsia"/>
          <w:color w:val="000000"/>
          <w:szCs w:val="21"/>
        </w:rPr>
        <w:t xml:space="preserve"> may impact performance, since activities are conducted outdoors. Material Production &amp; Shipment happen in Spring, Summer, and Autumn. </w:t>
      </w:r>
      <w:r w:rsidRPr="009C2796">
        <w:rPr>
          <w:rFonts w:ascii="Arial" w:hAnsi="Arial" w:cs="Arial" w:hint="eastAsia"/>
          <w:color w:val="FF0000"/>
          <w:szCs w:val="21"/>
        </w:rPr>
        <w:t xml:space="preserve">Warmer and </w:t>
      </w:r>
      <w:r w:rsidR="009C2796">
        <w:rPr>
          <w:rFonts w:ascii="Arial" w:hAnsi="Arial" w:cs="Arial" w:hint="eastAsia"/>
          <w:color w:val="FF0000"/>
          <w:szCs w:val="21"/>
        </w:rPr>
        <w:t>Drier</w:t>
      </w:r>
      <w:r w:rsidRPr="009C2796">
        <w:rPr>
          <w:rFonts w:ascii="Arial" w:hAnsi="Arial" w:cs="Arial" w:hint="eastAsia"/>
          <w:color w:val="FF0000"/>
          <w:szCs w:val="21"/>
        </w:rPr>
        <w:t xml:space="preserve"> </w:t>
      </w:r>
      <w:r w:rsidRPr="009C2796">
        <w:rPr>
          <w:rFonts w:ascii="Arial" w:hAnsi="Arial" w:cs="Arial"/>
          <w:color w:val="FF0000"/>
          <w:szCs w:val="21"/>
        </w:rPr>
        <w:t>conditions</w:t>
      </w:r>
      <w:r w:rsidRPr="009C2796">
        <w:rPr>
          <w:rFonts w:ascii="Arial" w:hAnsi="Arial" w:cs="Arial" w:hint="eastAsia"/>
          <w:color w:val="FF0000"/>
          <w:szCs w:val="21"/>
        </w:rPr>
        <w:t xml:space="preserve"> in the Third and Fourth fiscal Quarters result in </w:t>
      </w:r>
      <w:r w:rsidRPr="009C2796">
        <w:rPr>
          <w:rFonts w:ascii="Arial" w:hAnsi="Arial" w:cs="Arial" w:hint="eastAsia"/>
          <w:color w:val="FF0000"/>
          <w:szCs w:val="21"/>
        </w:rPr>
        <w:lastRenderedPageBreak/>
        <w:t xml:space="preserve">higher </w:t>
      </w:r>
      <w:r w:rsidR="009C2796" w:rsidRPr="009C2796">
        <w:rPr>
          <w:rFonts w:ascii="Arial" w:hAnsi="Arial" w:cs="Arial" w:hint="eastAsia"/>
          <w:color w:val="FF0000"/>
          <w:szCs w:val="21"/>
        </w:rPr>
        <w:t>level of activities and revenue.</w:t>
      </w:r>
      <w:r w:rsidR="00AD18E2">
        <w:rPr>
          <w:rFonts w:ascii="Arial" w:hAnsi="Arial" w:cs="Arial" w:hint="eastAsia"/>
          <w:color w:val="FF0000"/>
          <w:szCs w:val="21"/>
        </w:rPr>
        <w:t xml:space="preserve"> Not CYCLICAL !!!</w:t>
      </w:r>
      <w:r w:rsidR="007844F2">
        <w:rPr>
          <w:rFonts w:ascii="Arial" w:hAnsi="Arial" w:cs="Arial" w:hint="eastAsia"/>
          <w:color w:val="FF0000"/>
          <w:szCs w:val="21"/>
        </w:rPr>
        <w:t xml:space="preserve"> </w:t>
      </w:r>
    </w:p>
    <w:p w14:paraId="6326130D" w14:textId="7BE14B7E" w:rsidR="00E76528" w:rsidRDefault="007844F2" w:rsidP="00E76528">
      <w:pPr>
        <w:rPr>
          <w:rFonts w:ascii="Arial" w:hAnsi="Arial" w:cs="Arial"/>
          <w:color w:val="FF0000"/>
          <w:szCs w:val="21"/>
        </w:rPr>
      </w:pPr>
      <w:r>
        <w:rPr>
          <w:rFonts w:ascii="Arial" w:hAnsi="Arial" w:cs="Arial" w:hint="eastAsia"/>
          <w:color w:val="FF0000"/>
          <w:szCs w:val="21"/>
        </w:rPr>
        <w:t>(40/60% Rev, 30/70% Adj. EBITDA distribution in first, second half of year)</w:t>
      </w:r>
    </w:p>
    <w:p w14:paraId="59310EF7" w14:textId="5A5B5907" w:rsidR="009C2796" w:rsidRDefault="009C2796" w:rsidP="00E76528">
      <w:pPr>
        <w:rPr>
          <w:rFonts w:ascii="Arial" w:hAnsi="Arial" w:cs="Arial"/>
          <w:szCs w:val="21"/>
        </w:rPr>
      </w:pPr>
      <w:r>
        <w:rPr>
          <w:rFonts w:ascii="Arial" w:hAnsi="Arial" w:cs="Arial" w:hint="eastAsia"/>
          <w:szCs w:val="21"/>
        </w:rPr>
        <w:t>Raw Materials to Purchase: Diesel fuel, Liquid Asphalt, other petrol-based materials, sand, rock.</w:t>
      </w:r>
    </w:p>
    <w:p w14:paraId="5497C821" w14:textId="77777777" w:rsidR="006857F9" w:rsidRDefault="006857F9" w:rsidP="00E76528">
      <w:pPr>
        <w:rPr>
          <w:rFonts w:ascii="Arial" w:hAnsi="Arial" w:cs="Arial"/>
          <w:szCs w:val="21"/>
        </w:rPr>
      </w:pPr>
    </w:p>
    <w:p w14:paraId="47FBA5BB" w14:textId="7C5045F5" w:rsidR="006857F9" w:rsidRDefault="004A337D" w:rsidP="00E76528">
      <w:pPr>
        <w:rPr>
          <w:rFonts w:ascii="Arial" w:hAnsi="Arial" w:cs="Arial"/>
          <w:szCs w:val="21"/>
        </w:rPr>
      </w:pPr>
      <w:r>
        <w:rPr>
          <w:rFonts w:ascii="Arial" w:hAnsi="Arial" w:cs="Arial" w:hint="eastAsia"/>
          <w:szCs w:val="21"/>
        </w:rPr>
        <w:t>Risk Factors:</w:t>
      </w:r>
    </w:p>
    <w:p w14:paraId="0BDF041F" w14:textId="4283BF78" w:rsidR="004A337D" w:rsidRDefault="004A337D" w:rsidP="004A337D">
      <w:pPr>
        <w:pStyle w:val="ListParagraph"/>
        <w:numPr>
          <w:ilvl w:val="0"/>
          <w:numId w:val="5"/>
        </w:numPr>
        <w:rPr>
          <w:rFonts w:ascii="Arial" w:hAnsi="Arial" w:cs="Arial"/>
          <w:szCs w:val="21"/>
        </w:rPr>
      </w:pPr>
      <w:r>
        <w:rPr>
          <w:rFonts w:ascii="Arial" w:hAnsi="Arial" w:cs="Arial" w:hint="eastAsia"/>
          <w:szCs w:val="21"/>
        </w:rPr>
        <w:t>Slow down in economy, southeastern US in particular</w:t>
      </w:r>
    </w:p>
    <w:p w14:paraId="188F0A1D" w14:textId="0996E42E" w:rsidR="004A337D" w:rsidRDefault="004A337D" w:rsidP="004A337D">
      <w:pPr>
        <w:pStyle w:val="ListParagraph"/>
        <w:numPr>
          <w:ilvl w:val="0"/>
          <w:numId w:val="5"/>
        </w:numPr>
        <w:rPr>
          <w:rFonts w:ascii="Arial" w:hAnsi="Arial" w:cs="Arial"/>
          <w:szCs w:val="21"/>
        </w:rPr>
      </w:pPr>
      <w:r>
        <w:rPr>
          <w:rFonts w:ascii="Arial" w:hAnsi="Arial" w:cs="Arial" w:hint="eastAsia"/>
          <w:szCs w:val="21"/>
        </w:rPr>
        <w:t xml:space="preserve">Govt policies on </w:t>
      </w:r>
      <w:r>
        <w:rPr>
          <w:rFonts w:ascii="Arial" w:hAnsi="Arial" w:cs="Arial"/>
          <w:szCs w:val="21"/>
        </w:rPr>
        <w:t>infrastructure</w:t>
      </w:r>
      <w:r>
        <w:rPr>
          <w:rFonts w:ascii="Arial" w:hAnsi="Arial" w:cs="Arial" w:hint="eastAsia"/>
          <w:szCs w:val="21"/>
        </w:rPr>
        <w:t xml:space="preserve"> &amp; federal fundings</w:t>
      </w:r>
    </w:p>
    <w:p w14:paraId="620850B2" w14:textId="19C6ACC8" w:rsidR="004A337D" w:rsidRDefault="004A337D" w:rsidP="004A337D">
      <w:pPr>
        <w:pStyle w:val="ListParagraph"/>
        <w:numPr>
          <w:ilvl w:val="0"/>
          <w:numId w:val="5"/>
        </w:numPr>
        <w:rPr>
          <w:rFonts w:ascii="Arial" w:hAnsi="Arial" w:cs="Arial"/>
          <w:szCs w:val="21"/>
        </w:rPr>
      </w:pPr>
      <w:r>
        <w:rPr>
          <w:rFonts w:ascii="Arial" w:hAnsi="Arial" w:cs="Arial" w:hint="eastAsia"/>
          <w:szCs w:val="21"/>
        </w:rPr>
        <w:t>Loss of competitiveness to bid for state DOTs contracts</w:t>
      </w:r>
    </w:p>
    <w:p w14:paraId="0C1C3D26" w14:textId="7BBD2939" w:rsidR="004A337D" w:rsidRDefault="004A337D" w:rsidP="004A337D">
      <w:pPr>
        <w:pStyle w:val="ListParagraph"/>
        <w:numPr>
          <w:ilvl w:val="0"/>
          <w:numId w:val="5"/>
        </w:numPr>
        <w:rPr>
          <w:rFonts w:ascii="Arial" w:hAnsi="Arial" w:cs="Arial"/>
          <w:szCs w:val="21"/>
        </w:rPr>
      </w:pPr>
      <w:r>
        <w:rPr>
          <w:rFonts w:ascii="Arial" w:hAnsi="Arial" w:cs="Arial" w:hint="eastAsia"/>
          <w:szCs w:val="21"/>
        </w:rPr>
        <w:t>Inflation and supply chain disruptions</w:t>
      </w:r>
    </w:p>
    <w:p w14:paraId="0AEA0827" w14:textId="3E6C62BE" w:rsidR="004A337D" w:rsidRDefault="004A337D" w:rsidP="004A337D">
      <w:pPr>
        <w:pStyle w:val="ListParagraph"/>
        <w:numPr>
          <w:ilvl w:val="0"/>
          <w:numId w:val="5"/>
        </w:numPr>
        <w:rPr>
          <w:rFonts w:ascii="Arial" w:hAnsi="Arial" w:cs="Arial"/>
          <w:szCs w:val="21"/>
        </w:rPr>
      </w:pPr>
      <w:r>
        <w:rPr>
          <w:rFonts w:ascii="Arial" w:hAnsi="Arial" w:cs="Arial" w:hint="eastAsia"/>
          <w:szCs w:val="21"/>
        </w:rPr>
        <w:t>Profitability is sensitive to volume, high capital intensity &amp; high proportion of FIXED COSTS &amp; SEMI-FIXED COSTS</w:t>
      </w:r>
    </w:p>
    <w:p w14:paraId="42DDB44A" w14:textId="77777777" w:rsidR="004A337D" w:rsidRDefault="004A337D" w:rsidP="00AD18E2">
      <w:pPr>
        <w:rPr>
          <w:rFonts w:ascii="Arial" w:hAnsi="Arial" w:cs="Arial"/>
          <w:szCs w:val="21"/>
        </w:rPr>
      </w:pPr>
    </w:p>
    <w:p w14:paraId="215F4DBB" w14:textId="77777777" w:rsidR="00AD18E2" w:rsidRDefault="00AD18E2" w:rsidP="00AD18E2">
      <w:pPr>
        <w:rPr>
          <w:rFonts w:ascii="Arial" w:hAnsi="Arial" w:cs="Arial"/>
          <w:szCs w:val="21"/>
        </w:rPr>
      </w:pPr>
    </w:p>
    <w:p w14:paraId="08A54554" w14:textId="77777777" w:rsidR="00AD18E2" w:rsidRDefault="00AD18E2" w:rsidP="00AD18E2">
      <w:pPr>
        <w:rPr>
          <w:rFonts w:ascii="Arial" w:hAnsi="Arial" w:cs="Arial"/>
          <w:szCs w:val="21"/>
        </w:rPr>
      </w:pPr>
    </w:p>
    <w:p w14:paraId="2A6B44F8" w14:textId="2411DF4F" w:rsidR="00AD18E2" w:rsidRDefault="00AD18E2" w:rsidP="00AD18E2">
      <w:pPr>
        <w:rPr>
          <w:rFonts w:ascii="Arial" w:hAnsi="Arial" w:cs="Arial"/>
          <w:szCs w:val="21"/>
        </w:rPr>
      </w:pPr>
      <w:r>
        <w:rPr>
          <w:rFonts w:ascii="Arial" w:hAnsi="Arial" w:cs="Arial" w:hint="eastAsia"/>
          <w:szCs w:val="21"/>
        </w:rPr>
        <w:t>Investor Day Presentation (Oct 23):</w:t>
      </w:r>
    </w:p>
    <w:p w14:paraId="7EF9286D" w14:textId="22882E31" w:rsidR="00AD18E2" w:rsidRDefault="00AD18E2" w:rsidP="00AD18E2">
      <w:pPr>
        <w:rPr>
          <w:rFonts w:ascii="Arial" w:hAnsi="Arial" w:cs="Arial"/>
          <w:szCs w:val="21"/>
        </w:rPr>
      </w:pPr>
      <w:r>
        <w:rPr>
          <w:rFonts w:ascii="Arial" w:hAnsi="Arial" w:cs="Arial" w:hint="eastAsia"/>
          <w:szCs w:val="21"/>
        </w:rPr>
        <w:t>ROAD MAP 27: (exceeded the upside of 5-year IPO target)</w:t>
      </w:r>
    </w:p>
    <w:p w14:paraId="5E864495" w14:textId="0709993C" w:rsidR="00AD18E2" w:rsidRPr="007844F2" w:rsidRDefault="00AD18E2" w:rsidP="007844F2">
      <w:pPr>
        <w:pStyle w:val="ListParagraph"/>
        <w:numPr>
          <w:ilvl w:val="0"/>
          <w:numId w:val="6"/>
        </w:numPr>
        <w:rPr>
          <w:rFonts w:ascii="Arial" w:hAnsi="Arial" w:cs="Arial"/>
          <w:szCs w:val="21"/>
        </w:rPr>
      </w:pPr>
      <w:r w:rsidRPr="007844F2">
        <w:rPr>
          <w:rFonts w:ascii="Arial" w:hAnsi="Arial" w:cs="Arial" w:hint="eastAsia"/>
          <w:szCs w:val="21"/>
        </w:rPr>
        <w:t>CAGR: 15%-20% Revenue Growth</w:t>
      </w:r>
      <w:r w:rsidR="007844F2" w:rsidRPr="007844F2">
        <w:rPr>
          <w:rFonts w:ascii="Arial" w:hAnsi="Arial" w:cs="Arial" w:hint="eastAsia"/>
          <w:szCs w:val="21"/>
        </w:rPr>
        <w:t xml:space="preserve"> from 23-27</w:t>
      </w:r>
      <w:r w:rsidRPr="007844F2">
        <w:rPr>
          <w:rFonts w:ascii="Arial" w:hAnsi="Arial" w:cs="Arial" w:hint="eastAsia"/>
          <w:szCs w:val="21"/>
        </w:rPr>
        <w:t>, $2.7-3.2 bn by 2027</w:t>
      </w:r>
    </w:p>
    <w:p w14:paraId="6A5F1875" w14:textId="79523203" w:rsidR="00AD18E2" w:rsidRDefault="00AD18E2" w:rsidP="007844F2">
      <w:pPr>
        <w:pStyle w:val="ListParagraph"/>
        <w:numPr>
          <w:ilvl w:val="0"/>
          <w:numId w:val="6"/>
        </w:numPr>
        <w:rPr>
          <w:rFonts w:ascii="Arial" w:hAnsi="Arial" w:cs="Arial"/>
          <w:szCs w:val="21"/>
        </w:rPr>
      </w:pPr>
      <w:r w:rsidRPr="007844F2">
        <w:rPr>
          <w:rFonts w:ascii="Arial" w:hAnsi="Arial" w:cs="Arial" w:hint="eastAsia"/>
          <w:szCs w:val="21"/>
        </w:rPr>
        <w:t>Adjusted EBITDA</w:t>
      </w:r>
      <w:r w:rsidR="00203A4E">
        <w:rPr>
          <w:rFonts w:ascii="Arial" w:hAnsi="Arial" w:cs="Arial" w:hint="eastAsia"/>
          <w:szCs w:val="21"/>
        </w:rPr>
        <w:t xml:space="preserve"> Margin</w:t>
      </w:r>
      <w:r w:rsidRPr="007844F2">
        <w:rPr>
          <w:rFonts w:ascii="Arial" w:hAnsi="Arial" w:cs="Arial" w:hint="eastAsia"/>
          <w:szCs w:val="21"/>
        </w:rPr>
        <w:t>: 13%-14% (+50-75 bps annually)</w:t>
      </w:r>
    </w:p>
    <w:p w14:paraId="6C1E2627" w14:textId="1F46505E" w:rsidR="007844F2" w:rsidRPr="007844F2" w:rsidRDefault="007844F2" w:rsidP="007844F2">
      <w:pPr>
        <w:pStyle w:val="ListParagraph"/>
        <w:numPr>
          <w:ilvl w:val="0"/>
          <w:numId w:val="6"/>
        </w:numPr>
        <w:rPr>
          <w:rFonts w:ascii="Arial" w:hAnsi="Arial" w:cs="Arial"/>
          <w:szCs w:val="21"/>
        </w:rPr>
      </w:pPr>
      <w:r>
        <w:rPr>
          <w:rFonts w:ascii="Arial" w:hAnsi="Arial" w:cs="Arial" w:hint="eastAsia"/>
          <w:szCs w:val="21"/>
        </w:rPr>
        <w:t>Net Income +34%-38% CAGR</w:t>
      </w:r>
    </w:p>
    <w:p w14:paraId="38E5F7DF" w14:textId="4D016CD1" w:rsidR="00AD18E2" w:rsidRPr="00AD18E2" w:rsidRDefault="00AD18E2" w:rsidP="00AD18E2">
      <w:pPr>
        <w:rPr>
          <w:rFonts w:ascii="Arial" w:hAnsi="Arial" w:cs="Arial"/>
          <w:szCs w:val="21"/>
        </w:rPr>
      </w:pPr>
      <w:r>
        <w:rPr>
          <w:rFonts w:ascii="Arial" w:hAnsi="Arial" w:cs="Arial" w:hint="eastAsia"/>
          <w:szCs w:val="21"/>
        </w:rPr>
        <w:t xml:space="preserve">Focused on </w:t>
      </w:r>
      <w:r>
        <w:rPr>
          <w:rFonts w:ascii="Arial" w:hAnsi="Arial" w:cs="Arial"/>
          <w:szCs w:val="21"/>
        </w:rPr>
        <w:t>“</w:t>
      </w:r>
      <w:r>
        <w:rPr>
          <w:rFonts w:ascii="Arial" w:hAnsi="Arial" w:cs="Arial" w:hint="eastAsia"/>
          <w:szCs w:val="21"/>
        </w:rPr>
        <w:t xml:space="preserve">short </w:t>
      </w:r>
      <w:r>
        <w:rPr>
          <w:rFonts w:ascii="Arial" w:hAnsi="Arial" w:cs="Arial"/>
          <w:szCs w:val="21"/>
        </w:rPr>
        <w:t>duration</w:t>
      </w:r>
      <w:r>
        <w:rPr>
          <w:rFonts w:ascii="Arial" w:hAnsi="Arial" w:cs="Arial" w:hint="eastAsia"/>
          <w:szCs w:val="21"/>
        </w:rPr>
        <w:t>, low risk projects</w:t>
      </w:r>
      <w:r>
        <w:rPr>
          <w:rFonts w:ascii="Arial" w:hAnsi="Arial" w:cs="Arial"/>
          <w:szCs w:val="21"/>
        </w:rPr>
        <w:t>”</w:t>
      </w:r>
      <w:r>
        <w:rPr>
          <w:rFonts w:ascii="Arial" w:hAnsi="Arial" w:cs="Arial" w:hint="eastAsia"/>
          <w:szCs w:val="21"/>
        </w:rPr>
        <w:t xml:space="preserve"> (69%, $0-1 mm projects)</w:t>
      </w:r>
    </w:p>
    <w:p w14:paraId="5E9251F7" w14:textId="1A93CA08" w:rsidR="00AD18E2" w:rsidRDefault="00AD18E2" w:rsidP="00AD18E2">
      <w:pPr>
        <w:rPr>
          <w:rFonts w:ascii="Arial" w:hAnsi="Arial" w:cs="Arial"/>
          <w:szCs w:val="21"/>
        </w:rPr>
      </w:pPr>
      <w:r>
        <w:rPr>
          <w:rFonts w:ascii="Arial" w:hAnsi="Arial" w:cs="Arial" w:hint="eastAsia"/>
          <w:szCs w:val="21"/>
        </w:rPr>
        <w:t>Growth Avenues:</w:t>
      </w:r>
    </w:p>
    <w:p w14:paraId="32D3229B" w14:textId="45BD0B29" w:rsidR="00AD18E2" w:rsidRDefault="00AD18E2" w:rsidP="00AD18E2">
      <w:pPr>
        <w:rPr>
          <w:rFonts w:ascii="Arial" w:hAnsi="Arial" w:cs="Arial"/>
          <w:szCs w:val="21"/>
        </w:rPr>
      </w:pPr>
      <w:r>
        <w:rPr>
          <w:rFonts w:ascii="Arial" w:hAnsi="Arial" w:cs="Arial" w:hint="eastAsia"/>
          <w:szCs w:val="21"/>
        </w:rPr>
        <w:t>-Organic</w:t>
      </w:r>
    </w:p>
    <w:p w14:paraId="4B4FBB75" w14:textId="72896F39" w:rsidR="00AD18E2" w:rsidRDefault="00AD18E2" w:rsidP="00AD18E2">
      <w:pPr>
        <w:rPr>
          <w:rFonts w:ascii="Arial" w:hAnsi="Arial" w:cs="Arial"/>
          <w:szCs w:val="21"/>
        </w:rPr>
      </w:pPr>
      <w:r>
        <w:rPr>
          <w:rFonts w:ascii="Arial" w:hAnsi="Arial" w:cs="Arial" w:hint="eastAsia"/>
          <w:szCs w:val="21"/>
        </w:rPr>
        <w:t>-Greenfield (vertical integration, sales of HMA)</w:t>
      </w:r>
    </w:p>
    <w:p w14:paraId="312847BF" w14:textId="7927FE5F" w:rsidR="00AD18E2" w:rsidRDefault="00AD18E2" w:rsidP="00AD18E2">
      <w:pPr>
        <w:rPr>
          <w:rFonts w:ascii="Arial" w:hAnsi="Arial" w:cs="Arial"/>
          <w:szCs w:val="21"/>
        </w:rPr>
      </w:pPr>
      <w:r>
        <w:rPr>
          <w:rFonts w:ascii="Arial" w:hAnsi="Arial" w:cs="Arial" w:hint="eastAsia"/>
          <w:szCs w:val="21"/>
        </w:rPr>
        <w:t>-Acquisitive</w:t>
      </w:r>
    </w:p>
    <w:p w14:paraId="53044009" w14:textId="2680336C" w:rsidR="00AD18E2" w:rsidRDefault="00AD18E2" w:rsidP="00AD18E2">
      <w:pPr>
        <w:rPr>
          <w:rFonts w:ascii="Arial" w:hAnsi="Arial" w:cs="Arial"/>
          <w:szCs w:val="21"/>
        </w:rPr>
      </w:pPr>
      <w:r>
        <w:rPr>
          <w:rFonts w:ascii="Arial" w:hAnsi="Arial" w:cs="Arial" w:hint="eastAsia"/>
          <w:szCs w:val="21"/>
        </w:rPr>
        <w:t>DoT Fundings:</w:t>
      </w:r>
    </w:p>
    <w:p w14:paraId="2D75664A" w14:textId="7AB113BE" w:rsidR="00AD18E2" w:rsidRDefault="00AD18E2" w:rsidP="00AD18E2">
      <w:pPr>
        <w:rPr>
          <w:rFonts w:ascii="Arial" w:hAnsi="Arial" w:cs="Arial"/>
          <w:color w:val="FF0000"/>
          <w:szCs w:val="21"/>
        </w:rPr>
      </w:pPr>
      <w:r>
        <w:rPr>
          <w:rFonts w:ascii="Arial" w:hAnsi="Arial" w:cs="Arial" w:hint="eastAsia"/>
          <w:szCs w:val="21"/>
        </w:rPr>
        <w:t xml:space="preserve">Funding for pavement-related infrastructure by DoT each year </w:t>
      </w:r>
      <w:r w:rsidRPr="00AD18E2">
        <w:rPr>
          <w:rFonts w:ascii="Arial" w:hAnsi="Arial" w:cs="Arial" w:hint="eastAsia"/>
          <w:color w:val="FF0000"/>
          <w:szCs w:val="21"/>
        </w:rPr>
        <w:t>(track</w:t>
      </w:r>
      <w:r>
        <w:rPr>
          <w:rFonts w:ascii="Arial" w:hAnsi="Arial" w:cs="Arial" w:hint="eastAsia"/>
          <w:color w:val="FF0000"/>
          <w:szCs w:val="21"/>
        </w:rPr>
        <w:t>, also Trump terms</w:t>
      </w:r>
      <w:r w:rsidRPr="00AD18E2">
        <w:rPr>
          <w:rFonts w:ascii="Arial" w:hAnsi="Arial" w:cs="Arial" w:hint="eastAsia"/>
          <w:color w:val="FF0000"/>
          <w:szCs w:val="21"/>
        </w:rPr>
        <w:t>)</w:t>
      </w:r>
    </w:p>
    <w:p w14:paraId="18095BF6" w14:textId="76C18D09" w:rsidR="007844F2" w:rsidRDefault="007844F2" w:rsidP="00AD18E2">
      <w:pPr>
        <w:rPr>
          <w:rFonts w:ascii="Arial" w:hAnsi="Arial" w:cs="Arial"/>
          <w:color w:val="FF0000"/>
          <w:szCs w:val="21"/>
        </w:rPr>
      </w:pPr>
      <w:r>
        <w:rPr>
          <w:rFonts w:ascii="Arial" w:hAnsi="Arial" w:cs="Arial" w:hint="eastAsia"/>
          <w:color w:val="FF0000"/>
          <w:szCs w:val="21"/>
        </w:rPr>
        <w:t>Initial FY24 Guidance:</w:t>
      </w:r>
    </w:p>
    <w:p w14:paraId="6448F866" w14:textId="0F58D351" w:rsidR="007844F2" w:rsidRDefault="007844F2" w:rsidP="00AD18E2">
      <w:pPr>
        <w:rPr>
          <w:rFonts w:ascii="Arial" w:hAnsi="Arial" w:cs="Arial"/>
          <w:szCs w:val="21"/>
        </w:rPr>
      </w:pPr>
      <w:r>
        <w:rPr>
          <w:rFonts w:ascii="Arial" w:hAnsi="Arial" w:cs="Arial" w:hint="eastAsia"/>
          <w:szCs w:val="21"/>
        </w:rPr>
        <w:t>$1.75-1.825 bn Revenue Growth (+15%), $63-70 mm Income Growth (+41%)</w:t>
      </w:r>
    </w:p>
    <w:p w14:paraId="373C2B8B" w14:textId="19C46113" w:rsidR="007844F2" w:rsidRDefault="007844F2" w:rsidP="00AD18E2">
      <w:pPr>
        <w:rPr>
          <w:rFonts w:ascii="Arial" w:hAnsi="Arial" w:cs="Arial"/>
          <w:szCs w:val="21"/>
        </w:rPr>
      </w:pPr>
      <w:r>
        <w:rPr>
          <w:rFonts w:ascii="Arial" w:hAnsi="Arial" w:cs="Arial" w:hint="eastAsia"/>
          <w:szCs w:val="21"/>
        </w:rPr>
        <w:t>Adjusted EBITDA $197-219 mm (+22%), Adjusted EBITDA Margin 11.3%-12.0% (+6%)</w:t>
      </w:r>
    </w:p>
    <w:p w14:paraId="7D7481A7" w14:textId="77777777" w:rsidR="00B67868" w:rsidRDefault="00B67868" w:rsidP="00AD18E2">
      <w:pPr>
        <w:rPr>
          <w:rFonts w:ascii="Arial" w:hAnsi="Arial" w:cs="Arial"/>
          <w:szCs w:val="21"/>
        </w:rPr>
      </w:pPr>
    </w:p>
    <w:p w14:paraId="7FFF390A" w14:textId="56AEC2B5" w:rsidR="00F8440D" w:rsidRPr="00610DBB" w:rsidRDefault="00F8440D" w:rsidP="00610DBB">
      <w:pPr>
        <w:pStyle w:val="ListParagraph"/>
        <w:numPr>
          <w:ilvl w:val="0"/>
          <w:numId w:val="6"/>
        </w:numPr>
        <w:rPr>
          <w:rFonts w:ascii="Arial" w:hAnsi="Arial" w:cs="Arial"/>
          <w:szCs w:val="21"/>
        </w:rPr>
      </w:pPr>
      <w:r w:rsidRPr="00610DBB">
        <w:rPr>
          <w:rFonts w:ascii="Arial" w:hAnsi="Arial" w:cs="Arial" w:hint="eastAsia"/>
          <w:szCs w:val="21"/>
        </w:rPr>
        <w:t>IPO 5</w:t>
      </w:r>
      <w:r w:rsidR="00610DBB">
        <w:rPr>
          <w:rFonts w:ascii="Arial" w:hAnsi="Arial" w:cs="Arial" w:hint="eastAsia"/>
          <w:szCs w:val="21"/>
        </w:rPr>
        <w:t xml:space="preserve"> Yea</w:t>
      </w:r>
      <w:r w:rsidRPr="00610DBB">
        <w:rPr>
          <w:rFonts w:ascii="Arial" w:hAnsi="Arial" w:cs="Arial" w:hint="eastAsia"/>
          <w:szCs w:val="21"/>
        </w:rPr>
        <w:t>r Plan</w:t>
      </w:r>
    </w:p>
    <w:p w14:paraId="4C4D78C7" w14:textId="660625D2" w:rsidR="00F8440D" w:rsidRDefault="000C7410" w:rsidP="00AD18E2">
      <w:pPr>
        <w:rPr>
          <w:rFonts w:ascii="Arial" w:hAnsi="Arial" w:cs="Arial"/>
          <w:szCs w:val="21"/>
        </w:rPr>
      </w:pPr>
      <w:r>
        <w:rPr>
          <w:rFonts w:ascii="Arial" w:hAnsi="Arial" w:cs="Arial" w:hint="eastAsia"/>
          <w:szCs w:val="21"/>
        </w:rPr>
        <w:t>Annual Revenue Growth: Single- Low Double Digits (17.6% act.)</w:t>
      </w:r>
    </w:p>
    <w:p w14:paraId="4DD4B6A7" w14:textId="23847D0C" w:rsidR="000C7410" w:rsidRDefault="000C7410" w:rsidP="00AD18E2">
      <w:pPr>
        <w:rPr>
          <w:rFonts w:ascii="Arial" w:hAnsi="Arial" w:cs="Arial"/>
          <w:szCs w:val="21"/>
        </w:rPr>
      </w:pPr>
      <w:r>
        <w:rPr>
          <w:rFonts w:ascii="Arial" w:hAnsi="Arial" w:cs="Arial" w:hint="eastAsia"/>
          <w:szCs w:val="21"/>
        </w:rPr>
        <w:t>Achieve Revenue above $1 billion (1.3 bn in 2022)</w:t>
      </w:r>
    </w:p>
    <w:p w14:paraId="11642442" w14:textId="6D172DCF" w:rsidR="000C7410" w:rsidRDefault="00610DBB" w:rsidP="00AD18E2">
      <w:pPr>
        <w:rPr>
          <w:rFonts w:ascii="Arial" w:hAnsi="Arial" w:cs="Arial"/>
          <w:szCs w:val="21"/>
        </w:rPr>
      </w:pPr>
      <w:r>
        <w:rPr>
          <w:rFonts w:ascii="Arial" w:hAnsi="Arial" w:cs="Arial" w:hint="eastAsia"/>
          <w:szCs w:val="21"/>
        </w:rPr>
        <w:t>122% (growth in number of distinct local market)</w:t>
      </w:r>
    </w:p>
    <w:p w14:paraId="564109D3" w14:textId="632414BD" w:rsidR="00610DBB" w:rsidRDefault="00610DBB" w:rsidP="00AD18E2">
      <w:pPr>
        <w:rPr>
          <w:rFonts w:ascii="Arial" w:hAnsi="Arial" w:cs="Arial"/>
          <w:szCs w:val="21"/>
        </w:rPr>
      </w:pPr>
      <w:r>
        <w:rPr>
          <w:rFonts w:ascii="Arial" w:hAnsi="Arial" w:cs="Arial" w:hint="eastAsia"/>
          <w:szCs w:val="21"/>
        </w:rPr>
        <w:t>19 acquisitions</w:t>
      </w:r>
    </w:p>
    <w:p w14:paraId="1159B91D" w14:textId="77777777" w:rsidR="00127F65" w:rsidRDefault="00127F65" w:rsidP="00AD18E2">
      <w:pPr>
        <w:rPr>
          <w:rFonts w:ascii="Arial" w:hAnsi="Arial" w:cs="Arial"/>
          <w:szCs w:val="21"/>
        </w:rPr>
      </w:pPr>
    </w:p>
    <w:p w14:paraId="4CF9C96E" w14:textId="77777777" w:rsidR="00127F65" w:rsidRDefault="00127F65" w:rsidP="00127F65">
      <w:pPr>
        <w:rPr>
          <w:rFonts w:ascii="Arial" w:hAnsi="Arial" w:cs="Arial"/>
          <w:szCs w:val="21"/>
        </w:rPr>
      </w:pPr>
      <w:r>
        <w:rPr>
          <w:rFonts w:ascii="Arial" w:hAnsi="Arial" w:cs="Arial" w:hint="eastAsia"/>
          <w:szCs w:val="21"/>
        </w:rPr>
        <w:t>Conference</w:t>
      </w:r>
    </w:p>
    <w:p w14:paraId="25B15974" w14:textId="77777777" w:rsidR="00127F65" w:rsidRDefault="00127F65" w:rsidP="00127F65">
      <w:pPr>
        <w:rPr>
          <w:rFonts w:ascii="Arial" w:hAnsi="Arial" w:cs="Arial"/>
          <w:szCs w:val="21"/>
        </w:rPr>
      </w:pPr>
      <w:r>
        <w:rPr>
          <w:rFonts w:ascii="Arial" w:hAnsi="Arial" w:cs="Arial" w:hint="eastAsia"/>
          <w:szCs w:val="21"/>
        </w:rPr>
        <w:t>70%, 80% of work tend to be maintenance related work</w:t>
      </w:r>
    </w:p>
    <w:p w14:paraId="1FC17E7A" w14:textId="77777777" w:rsidR="00127F65" w:rsidRDefault="00127F65" w:rsidP="00127F65">
      <w:pPr>
        <w:rPr>
          <w:rFonts w:ascii="Arial" w:hAnsi="Arial" w:cs="Arial"/>
          <w:szCs w:val="21"/>
        </w:rPr>
      </w:pPr>
      <w:r>
        <w:rPr>
          <w:rFonts w:ascii="Arial" w:hAnsi="Arial" w:cs="Arial"/>
          <w:szCs w:val="21"/>
        </w:rPr>
        <w:t>Economists</w:t>
      </w:r>
      <w:r>
        <w:rPr>
          <w:rFonts w:ascii="Arial" w:hAnsi="Arial" w:cs="Arial" w:hint="eastAsia"/>
          <w:szCs w:val="21"/>
        </w:rPr>
        <w:t xml:space="preserve"> mentioned in </w:t>
      </w:r>
      <w:r>
        <w:rPr>
          <w:rFonts w:ascii="Arial" w:hAnsi="Arial" w:cs="Arial"/>
          <w:szCs w:val="21"/>
        </w:rPr>
        <w:t xml:space="preserve">the </w:t>
      </w:r>
      <w:r>
        <w:rPr>
          <w:rFonts w:ascii="Arial" w:hAnsi="Arial" w:cs="Arial" w:hint="eastAsia"/>
          <w:szCs w:val="21"/>
        </w:rPr>
        <w:t>southern US, 60% maintenance &amp; 40% increase capacity widening, much higher widening than Northeastern US due to migration to the southern US.</w:t>
      </w:r>
    </w:p>
    <w:p w14:paraId="5D1DBECC" w14:textId="77777777" w:rsidR="00127F65" w:rsidRDefault="00127F65" w:rsidP="00127F65">
      <w:pPr>
        <w:rPr>
          <w:rFonts w:ascii="Arial" w:hAnsi="Arial" w:cs="Arial"/>
          <w:szCs w:val="21"/>
        </w:rPr>
      </w:pPr>
      <w:r>
        <w:rPr>
          <w:rFonts w:ascii="Arial" w:hAnsi="Arial" w:cs="Arial" w:hint="eastAsia"/>
          <w:szCs w:val="21"/>
        </w:rPr>
        <w:t xml:space="preserve">Organize labor in local markets (currently 72, </w:t>
      </w:r>
      <w:r>
        <w:rPr>
          <w:rFonts w:ascii="Arial" w:hAnsi="Arial" w:cs="Arial"/>
          <w:szCs w:val="21"/>
        </w:rPr>
        <w:t>overseen</w:t>
      </w:r>
      <w:r>
        <w:rPr>
          <w:rFonts w:ascii="Arial" w:hAnsi="Arial" w:cs="Arial" w:hint="eastAsia"/>
          <w:szCs w:val="21"/>
        </w:rPr>
        <w:t xml:space="preserve"> by a management team in the local market, who face recurring revenue work and repeat customers) </w:t>
      </w:r>
    </w:p>
    <w:p w14:paraId="592D85F4" w14:textId="77777777" w:rsidR="00127F65" w:rsidRDefault="00127F65" w:rsidP="00127F65">
      <w:pPr>
        <w:rPr>
          <w:rFonts w:ascii="Arial" w:hAnsi="Arial" w:cs="Arial"/>
          <w:szCs w:val="21"/>
        </w:rPr>
      </w:pPr>
      <w:r>
        <w:rPr>
          <w:rFonts w:ascii="Arial" w:hAnsi="Arial" w:cs="Arial" w:hint="eastAsia"/>
          <w:szCs w:val="21"/>
        </w:rPr>
        <w:lastRenderedPageBreak/>
        <w:t>SG&amp;A pipeline: expect</w:t>
      </w:r>
      <w:r w:rsidRPr="006C39DE">
        <w:rPr>
          <w:rFonts w:ascii="Arial" w:hAnsi="Arial" w:cs="Arial"/>
          <w:szCs w:val="21"/>
        </w:rPr>
        <w:t> 8 to 10 basis points per year</w:t>
      </w:r>
      <w:r>
        <w:rPr>
          <w:rFonts w:ascii="Arial" w:hAnsi="Arial" w:cs="Arial" w:hint="eastAsia"/>
          <w:szCs w:val="21"/>
        </w:rPr>
        <w:t xml:space="preserve"> shrink as a percentage of revenue</w:t>
      </w:r>
    </w:p>
    <w:p w14:paraId="4278C66B" w14:textId="77777777" w:rsidR="00127F65" w:rsidRDefault="00127F65" w:rsidP="00127F65">
      <w:pPr>
        <w:rPr>
          <w:rFonts w:ascii="Arial" w:hAnsi="Arial" w:cs="Arial"/>
          <w:color w:val="000000" w:themeColor="text1"/>
          <w:szCs w:val="21"/>
          <w:shd w:val="clear" w:color="auto" w:fill="FFFFFF"/>
        </w:rPr>
      </w:pPr>
      <w:r w:rsidRPr="00C54C36">
        <w:rPr>
          <w:rFonts w:ascii="Arial" w:hAnsi="Arial" w:cs="Arial" w:hint="eastAsia"/>
          <w:color w:val="000000" w:themeColor="text1"/>
          <w:szCs w:val="21"/>
          <w:shd w:val="clear" w:color="auto" w:fill="FFFFFF"/>
        </w:rPr>
        <w:t>A</w:t>
      </w:r>
      <w:r w:rsidRPr="00C54C36">
        <w:rPr>
          <w:rFonts w:ascii="Arial" w:hAnsi="Arial" w:cs="Arial"/>
          <w:color w:val="000000" w:themeColor="text1"/>
          <w:szCs w:val="21"/>
          <w:shd w:val="clear" w:color="auto" w:fill="FFFFFF"/>
        </w:rPr>
        <w:t> third of the margin expansion from SG&amp;A and two-thirds from the gross margin</w:t>
      </w:r>
    </w:p>
    <w:p w14:paraId="2E60DC7A" w14:textId="77777777" w:rsidR="00127F65" w:rsidRDefault="00127F65" w:rsidP="00127F65">
      <w:pPr>
        <w:rPr>
          <w:rFonts w:ascii="Arial" w:hAnsi="Arial" w:cs="Arial"/>
          <w:color w:val="000000" w:themeColor="text1"/>
          <w:sz w:val="24"/>
          <w:szCs w:val="24"/>
        </w:rPr>
      </w:pPr>
      <w:r>
        <w:rPr>
          <w:rFonts w:ascii="Arial" w:hAnsi="Arial" w:cs="Arial" w:hint="eastAsia"/>
          <w:color w:val="000000" w:themeColor="text1"/>
          <w:sz w:val="24"/>
          <w:szCs w:val="24"/>
        </w:rPr>
        <w:t>Around half/half growth for organic &amp; acquisitive</w:t>
      </w:r>
    </w:p>
    <w:p w14:paraId="54F6F37C" w14:textId="77777777" w:rsidR="00127F65" w:rsidRPr="00DB2E30" w:rsidRDefault="00127F65" w:rsidP="00127F65">
      <w:pPr>
        <w:pStyle w:val="ListParagraph"/>
        <w:numPr>
          <w:ilvl w:val="0"/>
          <w:numId w:val="7"/>
        </w:numPr>
        <w:rPr>
          <w:rFonts w:ascii="Arial" w:hAnsi="Arial" w:cs="Arial"/>
          <w:color w:val="000000" w:themeColor="text1"/>
          <w:sz w:val="24"/>
          <w:szCs w:val="24"/>
        </w:rPr>
      </w:pPr>
      <w:r w:rsidRPr="003C6856">
        <w:rPr>
          <w:rFonts w:ascii="Arial" w:hAnsi="Arial" w:cs="Arial" w:hint="eastAsia"/>
          <w:color w:val="000000" w:themeColor="text1"/>
          <w:sz w:val="24"/>
          <w:szCs w:val="24"/>
        </w:rPr>
        <w:t>Don</w:t>
      </w:r>
      <w:r w:rsidRPr="003C6856">
        <w:rPr>
          <w:rFonts w:ascii="Arial" w:hAnsi="Arial" w:cs="Arial"/>
          <w:color w:val="000000" w:themeColor="text1"/>
          <w:sz w:val="24"/>
          <w:szCs w:val="24"/>
        </w:rPr>
        <w:t>’</w:t>
      </w:r>
      <w:r w:rsidRPr="003C6856">
        <w:rPr>
          <w:rFonts w:ascii="Arial" w:hAnsi="Arial" w:cs="Arial" w:hint="eastAsia"/>
          <w:color w:val="000000" w:themeColor="text1"/>
          <w:sz w:val="24"/>
          <w:szCs w:val="24"/>
        </w:rPr>
        <w:t xml:space="preserve">t need to worry about acquisitive part, worry about </w:t>
      </w:r>
      <w:r w:rsidRPr="003C6856">
        <w:rPr>
          <w:rFonts w:ascii="Arial" w:hAnsi="Arial" w:cs="Arial" w:hint="eastAsia"/>
          <w:color w:val="FF0000"/>
          <w:sz w:val="24"/>
          <w:szCs w:val="24"/>
          <w:highlight w:val="yellow"/>
        </w:rPr>
        <w:t>organic part</w:t>
      </w:r>
    </w:p>
    <w:p w14:paraId="20E7BA9C" w14:textId="77777777" w:rsidR="00127F65" w:rsidRPr="00C959BC" w:rsidRDefault="00127F65" w:rsidP="00127F65">
      <w:pPr>
        <w:pStyle w:val="ListParagraph"/>
        <w:numPr>
          <w:ilvl w:val="0"/>
          <w:numId w:val="7"/>
        </w:numPr>
        <w:rPr>
          <w:rFonts w:ascii="Arial" w:hAnsi="Arial" w:cs="Arial"/>
          <w:color w:val="000000" w:themeColor="text1"/>
          <w:sz w:val="24"/>
          <w:szCs w:val="24"/>
        </w:rPr>
      </w:pPr>
      <w:r>
        <w:rPr>
          <w:rFonts w:ascii="Arial" w:hAnsi="Arial" w:cs="Arial" w:hint="eastAsia"/>
          <w:color w:val="FF0000"/>
          <w:sz w:val="24"/>
          <w:szCs w:val="24"/>
          <w:highlight w:val="yellow"/>
        </w:rPr>
        <w:t>Tar</w:t>
      </w:r>
      <w:r>
        <w:rPr>
          <w:rFonts w:ascii="Arial" w:hAnsi="Arial" w:cs="Arial" w:hint="eastAsia"/>
          <w:color w:val="FF0000"/>
          <w:sz w:val="24"/>
          <w:szCs w:val="24"/>
        </w:rPr>
        <w:t>get: 3%-6% real organic growth, 4% growth in price (7%-10% each year)</w:t>
      </w:r>
    </w:p>
    <w:p w14:paraId="74EEAEFC" w14:textId="77777777" w:rsidR="00127F65" w:rsidRDefault="00127F65" w:rsidP="00127F65">
      <w:pPr>
        <w:rPr>
          <w:rFonts w:ascii="Arial" w:hAnsi="Arial" w:cs="Arial"/>
          <w:color w:val="000000" w:themeColor="text1"/>
          <w:sz w:val="24"/>
          <w:szCs w:val="24"/>
        </w:rPr>
      </w:pPr>
      <w:r>
        <w:rPr>
          <w:rFonts w:ascii="Arial" w:hAnsi="Arial" w:cs="Arial" w:hint="eastAsia"/>
          <w:color w:val="000000" w:themeColor="text1"/>
          <w:sz w:val="24"/>
          <w:szCs w:val="24"/>
        </w:rPr>
        <w:t>5% net capex of rev. per year (3.25% fixed maintenance, 1.75% flexible with upside variation)</w:t>
      </w:r>
    </w:p>
    <w:p w14:paraId="5B364B76" w14:textId="77777777" w:rsidR="00127F65" w:rsidRPr="00127F65" w:rsidRDefault="00127F65" w:rsidP="00AD18E2">
      <w:pPr>
        <w:rPr>
          <w:rFonts w:ascii="Arial" w:hAnsi="Arial" w:cs="Arial"/>
          <w:szCs w:val="21"/>
        </w:rPr>
      </w:pPr>
    </w:p>
    <w:p w14:paraId="20C4F314" w14:textId="77777777" w:rsidR="00B67868" w:rsidRDefault="00B67868" w:rsidP="00AD18E2">
      <w:pPr>
        <w:rPr>
          <w:rFonts w:ascii="Arial" w:hAnsi="Arial" w:cs="Arial"/>
          <w:szCs w:val="21"/>
        </w:rPr>
      </w:pPr>
    </w:p>
    <w:p w14:paraId="35DC6278" w14:textId="54C4C54E" w:rsidR="00B67868" w:rsidRDefault="00B67868" w:rsidP="00AD18E2">
      <w:pPr>
        <w:rPr>
          <w:rFonts w:ascii="Arial" w:hAnsi="Arial" w:cs="Arial"/>
          <w:szCs w:val="21"/>
        </w:rPr>
      </w:pPr>
      <w:r>
        <w:rPr>
          <w:rFonts w:ascii="Arial" w:hAnsi="Arial" w:cs="Arial" w:hint="eastAsia"/>
          <w:szCs w:val="21"/>
        </w:rPr>
        <w:t>FY24 Q2 Conference Call</w:t>
      </w:r>
    </w:p>
    <w:p w14:paraId="676C1361" w14:textId="2A035BB9" w:rsidR="00B67868" w:rsidRDefault="00B03055" w:rsidP="00AD18E2">
      <w:pPr>
        <w:rPr>
          <w:rFonts w:ascii="Arial" w:hAnsi="Arial" w:cs="Arial"/>
          <w:szCs w:val="21"/>
        </w:rPr>
      </w:pPr>
      <w:r>
        <w:rPr>
          <w:rFonts w:ascii="Arial" w:hAnsi="Arial" w:cs="Arial" w:hint="eastAsia"/>
          <w:szCs w:val="21"/>
        </w:rPr>
        <w:t>Revenue Growth 14.3%, 6.6% organic, 7.7% acquisition</w:t>
      </w:r>
    </w:p>
    <w:p w14:paraId="5855F037" w14:textId="29EDEAF4" w:rsidR="00B03055" w:rsidRDefault="006A35BA" w:rsidP="00AD18E2">
      <w:pPr>
        <w:rPr>
          <w:rFonts w:ascii="Arial" w:hAnsi="Arial" w:cs="Arial"/>
          <w:szCs w:val="21"/>
        </w:rPr>
      </w:pPr>
      <w:r>
        <w:rPr>
          <w:rFonts w:ascii="Arial" w:hAnsi="Arial" w:cs="Arial" w:hint="eastAsia"/>
          <w:szCs w:val="21"/>
        </w:rPr>
        <w:t>Growth Profit 10</w:t>
      </w:r>
      <w:r w:rsidR="000C5B82">
        <w:rPr>
          <w:rFonts w:ascii="Arial" w:hAnsi="Arial" w:cs="Arial" w:hint="eastAsia"/>
          <w:szCs w:val="21"/>
        </w:rPr>
        <w:t>.4</w:t>
      </w:r>
      <w:r>
        <w:rPr>
          <w:rFonts w:ascii="Arial" w:hAnsi="Arial" w:cs="Arial" w:hint="eastAsia"/>
          <w:szCs w:val="21"/>
        </w:rPr>
        <w:t>% of revenue, up from 8.1% in Q2 2023</w:t>
      </w:r>
    </w:p>
    <w:p w14:paraId="5CEF791F" w14:textId="35639712" w:rsidR="006A35BA" w:rsidRDefault="00C72E0F" w:rsidP="00AD18E2">
      <w:pPr>
        <w:rPr>
          <w:rFonts w:ascii="Arial" w:hAnsi="Arial" w:cs="Arial"/>
          <w:szCs w:val="21"/>
        </w:rPr>
      </w:pPr>
      <w:r>
        <w:rPr>
          <w:rFonts w:ascii="Arial" w:hAnsi="Arial" w:cs="Arial" w:hint="eastAsia"/>
          <w:szCs w:val="21"/>
        </w:rPr>
        <w:t>80%-85% of next 12 months contract revenue booked in backlog</w:t>
      </w:r>
      <w:r w:rsidR="001B44FA">
        <w:rPr>
          <w:rFonts w:ascii="Arial" w:hAnsi="Arial" w:cs="Arial" w:hint="eastAsia"/>
          <w:szCs w:val="21"/>
        </w:rPr>
        <w:t>,</w:t>
      </w:r>
    </w:p>
    <w:p w14:paraId="55B22564" w14:textId="1A034902" w:rsidR="001B44FA" w:rsidRDefault="001B44FA" w:rsidP="00AD18E2">
      <w:pPr>
        <w:rPr>
          <w:rFonts w:ascii="Arial" w:hAnsi="Arial" w:cs="Arial"/>
          <w:szCs w:val="21"/>
        </w:rPr>
      </w:pPr>
      <w:r>
        <w:rPr>
          <w:rFonts w:ascii="Arial" w:hAnsi="Arial" w:cs="Arial" w:hint="eastAsia"/>
          <w:szCs w:val="21"/>
        </w:rPr>
        <w:t>up from 70%-75% last year</w:t>
      </w:r>
    </w:p>
    <w:p w14:paraId="716DC49C" w14:textId="1DBAC4BA" w:rsidR="002D581B" w:rsidRDefault="002D581B" w:rsidP="00AD18E2">
      <w:pPr>
        <w:rPr>
          <w:rFonts w:ascii="Arial" w:hAnsi="Arial" w:cs="Arial"/>
          <w:szCs w:val="21"/>
        </w:rPr>
      </w:pPr>
      <w:r>
        <w:rPr>
          <w:rFonts w:ascii="Arial" w:hAnsi="Arial" w:cs="Arial" w:hint="eastAsia"/>
          <w:szCs w:val="21"/>
        </w:rPr>
        <w:t>B</w:t>
      </w:r>
      <w:r w:rsidRPr="002D581B">
        <w:rPr>
          <w:rFonts w:ascii="Arial" w:hAnsi="Arial" w:cs="Arial"/>
          <w:szCs w:val="21"/>
        </w:rPr>
        <w:t>acklog has declined sequentially during our heavy spring and summer work seasons</w:t>
      </w:r>
    </w:p>
    <w:p w14:paraId="76C1D456" w14:textId="1DAD3D66" w:rsidR="002D581B" w:rsidRDefault="006314BF" w:rsidP="00AD18E2">
      <w:pPr>
        <w:rPr>
          <w:rFonts w:ascii="Arial" w:hAnsi="Arial" w:cs="Arial"/>
          <w:szCs w:val="21"/>
        </w:rPr>
      </w:pPr>
      <w:r>
        <w:rPr>
          <w:rFonts w:ascii="Arial" w:hAnsi="Arial" w:cs="Arial" w:hint="eastAsia"/>
          <w:szCs w:val="21"/>
        </w:rPr>
        <w:t>Debt-EBITDA 1.81, expect to be within 1.5-2.5 range for sustainable growth</w:t>
      </w:r>
    </w:p>
    <w:p w14:paraId="5470A52B" w14:textId="52B4367D" w:rsidR="006314BF" w:rsidRDefault="002A5ADA" w:rsidP="00AD18E2">
      <w:pPr>
        <w:rPr>
          <w:rFonts w:ascii="Arial" w:hAnsi="Arial" w:cs="Arial"/>
          <w:szCs w:val="21"/>
        </w:rPr>
      </w:pPr>
      <w:r>
        <w:rPr>
          <w:rFonts w:ascii="Arial" w:hAnsi="Arial" w:cs="Arial" w:hint="eastAsia"/>
          <w:szCs w:val="21"/>
        </w:rPr>
        <w:t xml:space="preserve">FY24 Net Capex: Expect </w:t>
      </w:r>
      <w:r w:rsidR="00C20AEC">
        <w:rPr>
          <w:rFonts w:ascii="Arial" w:hAnsi="Arial" w:cs="Arial" w:hint="eastAsia"/>
          <w:szCs w:val="21"/>
        </w:rPr>
        <w:t>$90 mm - $95 mm</w:t>
      </w:r>
      <w:r w:rsidR="00C20AEC">
        <w:rPr>
          <w:rFonts w:ascii="Arial" w:hAnsi="Arial" w:cs="Arial"/>
          <w:szCs w:val="21"/>
        </w:rPr>
        <w:tab/>
      </w:r>
    </w:p>
    <w:p w14:paraId="30BB3C73" w14:textId="400DC79F" w:rsidR="007A5329" w:rsidRDefault="007A5329" w:rsidP="00AD18E2">
      <w:pPr>
        <w:rPr>
          <w:rFonts w:ascii="Arial" w:hAnsi="Arial" w:cs="Arial"/>
          <w:szCs w:val="21"/>
        </w:rPr>
      </w:pPr>
      <w:r>
        <w:rPr>
          <w:rFonts w:ascii="Arial" w:hAnsi="Arial" w:cs="Arial" w:hint="eastAsia"/>
          <w:szCs w:val="21"/>
        </w:rPr>
        <w:t>Raise Guidance: Rev. $1.81-1.85 bn, Net Income $71-75m</w:t>
      </w:r>
      <w:r w:rsidR="00B94855">
        <w:rPr>
          <w:rFonts w:ascii="Arial" w:hAnsi="Arial" w:cs="Arial" w:hint="eastAsia"/>
          <w:szCs w:val="21"/>
        </w:rPr>
        <w:t>n</w:t>
      </w:r>
      <w:r>
        <w:rPr>
          <w:rFonts w:ascii="Arial" w:hAnsi="Arial" w:cs="Arial" w:hint="eastAsia"/>
          <w:szCs w:val="21"/>
        </w:rPr>
        <w:t xml:space="preserve">, Adj. EBITDA </w:t>
      </w:r>
      <w:r w:rsidR="00AB1603">
        <w:rPr>
          <w:rFonts w:ascii="Arial" w:hAnsi="Arial" w:cs="Arial" w:hint="eastAsia"/>
          <w:szCs w:val="21"/>
        </w:rPr>
        <w:t>211-225mm, Margin 11.7%-12.2%</w:t>
      </w:r>
      <w:r w:rsidR="00562C2B">
        <w:rPr>
          <w:rFonts w:ascii="Arial" w:hAnsi="Arial" w:cs="Arial" w:hint="eastAsia"/>
          <w:szCs w:val="21"/>
        </w:rPr>
        <w:t xml:space="preserve"> (expect similar distribution of Rev and EBITDA as FY23)</w:t>
      </w:r>
    </w:p>
    <w:p w14:paraId="65F889CF" w14:textId="257C9154" w:rsidR="006C6F27" w:rsidRDefault="006C6F27" w:rsidP="00AD18E2">
      <w:pPr>
        <w:rPr>
          <w:rFonts w:ascii="Arial" w:hAnsi="Arial" w:cs="Arial"/>
          <w:szCs w:val="21"/>
        </w:rPr>
      </w:pPr>
      <w:r>
        <w:rPr>
          <w:rFonts w:ascii="Arial" w:hAnsi="Arial" w:cs="Arial" w:hint="eastAsia"/>
          <w:szCs w:val="21"/>
        </w:rPr>
        <w:t xml:space="preserve">Growth in </w:t>
      </w:r>
      <w:r w:rsidR="005C19F6">
        <w:rPr>
          <w:rFonts w:ascii="Arial" w:hAnsi="Arial" w:cs="Arial"/>
          <w:szCs w:val="21"/>
        </w:rPr>
        <w:t xml:space="preserve">the </w:t>
      </w:r>
      <w:r>
        <w:rPr>
          <w:rFonts w:ascii="Arial" w:hAnsi="Arial" w:cs="Arial" w:hint="eastAsia"/>
          <w:szCs w:val="21"/>
        </w:rPr>
        <w:t>price of infrastructure projects</w:t>
      </w:r>
    </w:p>
    <w:p w14:paraId="35FBECB8" w14:textId="3221A220" w:rsidR="00A12539" w:rsidRDefault="005C19F6" w:rsidP="00AD18E2">
      <w:pPr>
        <w:rPr>
          <w:rFonts w:ascii="Arial" w:hAnsi="Arial" w:cs="Arial"/>
          <w:szCs w:val="21"/>
        </w:rPr>
      </w:pPr>
      <w:r>
        <w:rPr>
          <w:rFonts w:ascii="Arial" w:hAnsi="Arial" w:cs="Arial" w:hint="eastAsia"/>
          <w:szCs w:val="21"/>
        </w:rPr>
        <w:t>O</w:t>
      </w:r>
      <w:r w:rsidR="00A12539" w:rsidRPr="00A12539">
        <w:rPr>
          <w:rFonts w:ascii="Arial" w:hAnsi="Arial" w:cs="Arial"/>
          <w:szCs w:val="21"/>
        </w:rPr>
        <w:t>ur backlog has trended up</w:t>
      </w:r>
      <w:r>
        <w:rPr>
          <w:rFonts w:ascii="Arial" w:hAnsi="Arial" w:cs="Arial" w:hint="eastAsia"/>
          <w:szCs w:val="21"/>
        </w:rPr>
        <w:t>, which gives CPI more visibility and allows them to bid more patiently</w:t>
      </w:r>
    </w:p>
    <w:p w14:paraId="68B551D1" w14:textId="72016C15" w:rsidR="00F76BB7" w:rsidRDefault="00F76BB7" w:rsidP="00AD18E2">
      <w:pPr>
        <w:rPr>
          <w:rFonts w:ascii="Arial" w:hAnsi="Arial" w:cs="Arial"/>
          <w:szCs w:val="21"/>
        </w:rPr>
      </w:pPr>
      <w:r>
        <w:rPr>
          <w:rFonts w:ascii="Arial" w:hAnsi="Arial" w:cs="Arial" w:hint="eastAsia"/>
          <w:szCs w:val="21"/>
        </w:rPr>
        <w:t>Still seeing good gross margin expansion</w:t>
      </w:r>
    </w:p>
    <w:p w14:paraId="5A22ECB0" w14:textId="70A69B35" w:rsidR="007D361B" w:rsidRDefault="007D361B" w:rsidP="00AD18E2">
      <w:pPr>
        <w:rPr>
          <w:rFonts w:ascii="Arial" w:hAnsi="Arial" w:cs="Arial"/>
          <w:szCs w:val="21"/>
        </w:rPr>
      </w:pPr>
      <w:r w:rsidRPr="007D361B">
        <w:rPr>
          <w:rFonts w:ascii="Arial" w:hAnsi="Arial" w:cs="Arial"/>
          <w:szCs w:val="21"/>
        </w:rPr>
        <w:t>75% to 80% conversion of EBITDA to cash flow from operations</w:t>
      </w:r>
      <w:r>
        <w:rPr>
          <w:rFonts w:ascii="Arial" w:hAnsi="Arial" w:cs="Arial" w:hint="eastAsia"/>
          <w:szCs w:val="21"/>
        </w:rPr>
        <w:t>, still considering that</w:t>
      </w:r>
      <w:r w:rsidR="00491BF4">
        <w:rPr>
          <w:rFonts w:ascii="Arial" w:hAnsi="Arial" w:cs="Arial" w:hint="eastAsia"/>
          <w:szCs w:val="21"/>
        </w:rPr>
        <w:t xml:space="preserve"> conversion rate in the second half (</w:t>
      </w:r>
      <w:r w:rsidR="00246909">
        <w:rPr>
          <w:rFonts w:ascii="Arial" w:hAnsi="Arial" w:cs="Arial" w:hint="eastAsia"/>
          <w:szCs w:val="21"/>
        </w:rPr>
        <w:t xml:space="preserve">$95 million cash from </w:t>
      </w:r>
      <w:r w:rsidR="00830E66">
        <w:rPr>
          <w:rFonts w:ascii="Arial" w:hAnsi="Arial" w:cs="Arial"/>
          <w:szCs w:val="21"/>
        </w:rPr>
        <w:t>operations</w:t>
      </w:r>
      <w:r w:rsidR="00246909">
        <w:rPr>
          <w:rFonts w:ascii="Arial" w:hAnsi="Arial" w:cs="Arial" w:hint="eastAsia"/>
          <w:szCs w:val="21"/>
        </w:rPr>
        <w:t>)</w:t>
      </w:r>
    </w:p>
    <w:p w14:paraId="4C2EB2A2" w14:textId="265CC469" w:rsidR="004E2334" w:rsidRDefault="004E2334" w:rsidP="00AD18E2">
      <w:pPr>
        <w:rPr>
          <w:rFonts w:ascii="Arial" w:hAnsi="Arial" w:cs="Arial"/>
          <w:szCs w:val="21"/>
        </w:rPr>
      </w:pPr>
      <w:r>
        <w:rPr>
          <w:rFonts w:ascii="Arial" w:hAnsi="Arial" w:cs="Arial" w:hint="eastAsia"/>
          <w:szCs w:val="21"/>
        </w:rPr>
        <w:t>H</w:t>
      </w:r>
      <w:r w:rsidRPr="004E2334">
        <w:rPr>
          <w:rFonts w:ascii="Arial" w:hAnsi="Arial" w:cs="Arial"/>
          <w:szCs w:val="21"/>
        </w:rPr>
        <w:t>istorically has had sequentially backlog go down in the busy summer work season</w:t>
      </w:r>
    </w:p>
    <w:p w14:paraId="2013FABD" w14:textId="77777777" w:rsidR="006632E7" w:rsidRDefault="006632E7" w:rsidP="00AD18E2">
      <w:pPr>
        <w:rPr>
          <w:rFonts w:ascii="Arial" w:hAnsi="Arial" w:cs="Arial"/>
          <w:szCs w:val="21"/>
        </w:rPr>
      </w:pPr>
    </w:p>
    <w:p w14:paraId="0937B930" w14:textId="786B7D20" w:rsidR="006632E7" w:rsidRDefault="00127F65" w:rsidP="00AD18E2">
      <w:pPr>
        <w:rPr>
          <w:rFonts w:ascii="Arial" w:hAnsi="Arial" w:cs="Arial"/>
          <w:szCs w:val="21"/>
        </w:rPr>
      </w:pPr>
      <w:r>
        <w:rPr>
          <w:rFonts w:ascii="Arial" w:hAnsi="Arial" w:cs="Arial" w:hint="eastAsia"/>
          <w:szCs w:val="21"/>
        </w:rPr>
        <w:t>FY24 Q3 Conference Call</w:t>
      </w:r>
    </w:p>
    <w:p w14:paraId="40D22AFC" w14:textId="52420076" w:rsidR="00127F65" w:rsidRDefault="006D7D66" w:rsidP="00AD18E2">
      <w:pPr>
        <w:rPr>
          <w:rFonts w:ascii="Arial" w:hAnsi="Arial" w:cs="Arial"/>
          <w:szCs w:val="21"/>
        </w:rPr>
      </w:pPr>
      <w:r>
        <w:rPr>
          <w:rFonts w:ascii="Arial" w:hAnsi="Arial" w:cs="Arial" w:hint="eastAsia"/>
          <w:szCs w:val="21"/>
        </w:rPr>
        <w:t xml:space="preserve">Revenue Growth 22.7%, </w:t>
      </w:r>
      <w:r w:rsidR="00EC4142">
        <w:rPr>
          <w:rFonts w:ascii="Arial" w:hAnsi="Arial" w:cs="Arial" w:hint="eastAsia"/>
          <w:szCs w:val="21"/>
        </w:rPr>
        <w:t xml:space="preserve">13% organic, 9.7% </w:t>
      </w:r>
      <w:r w:rsidR="00EC4142">
        <w:rPr>
          <w:rFonts w:ascii="Arial" w:hAnsi="Arial" w:cs="Arial"/>
          <w:szCs w:val="21"/>
        </w:rPr>
        <w:t>acquisition</w:t>
      </w:r>
    </w:p>
    <w:p w14:paraId="102F9516" w14:textId="16E71C0B" w:rsidR="00EC4142" w:rsidRDefault="00EC4142" w:rsidP="00AD18E2">
      <w:pPr>
        <w:rPr>
          <w:rFonts w:ascii="Arial" w:hAnsi="Arial" w:cs="Arial"/>
          <w:szCs w:val="21"/>
        </w:rPr>
      </w:pPr>
      <w:r>
        <w:rPr>
          <w:rFonts w:ascii="Arial" w:hAnsi="Arial" w:cs="Arial" w:hint="eastAsia"/>
          <w:szCs w:val="21"/>
        </w:rPr>
        <w:t xml:space="preserve">Growth Profit </w:t>
      </w:r>
      <w:r w:rsidR="00147DE0">
        <w:rPr>
          <w:rFonts w:ascii="Arial" w:hAnsi="Arial" w:cs="Arial" w:hint="eastAsia"/>
          <w:szCs w:val="21"/>
        </w:rPr>
        <w:t>+30%</w:t>
      </w:r>
    </w:p>
    <w:p w14:paraId="427B9517" w14:textId="10F5D6ED" w:rsidR="00127F65" w:rsidRPr="0006324D" w:rsidRDefault="005C30E4" w:rsidP="00C959BC">
      <w:pPr>
        <w:rPr>
          <w:rFonts w:ascii="Arial" w:hAnsi="Arial" w:cs="Arial"/>
          <w:color w:val="000000" w:themeColor="text1"/>
          <w:szCs w:val="21"/>
        </w:rPr>
      </w:pPr>
      <w:r w:rsidRPr="0006324D">
        <w:rPr>
          <w:rFonts w:ascii="Arial" w:hAnsi="Arial" w:cs="Arial" w:hint="eastAsia"/>
          <w:color w:val="000000" w:themeColor="text1"/>
          <w:szCs w:val="21"/>
        </w:rPr>
        <w:t xml:space="preserve">SG&amp;A </w:t>
      </w:r>
      <w:r w:rsidRPr="0006324D">
        <w:rPr>
          <w:rFonts w:ascii="Arial" w:hAnsi="Arial" w:cs="Arial"/>
          <w:color w:val="000000" w:themeColor="text1"/>
          <w:szCs w:val="21"/>
        </w:rPr>
        <w:t xml:space="preserve">is </w:t>
      </w:r>
      <w:r w:rsidRPr="0006324D">
        <w:rPr>
          <w:rFonts w:ascii="Arial" w:hAnsi="Arial" w:cs="Arial" w:hint="eastAsia"/>
          <w:color w:val="000000" w:themeColor="text1"/>
          <w:szCs w:val="21"/>
        </w:rPr>
        <w:t>on pace to end at approximately 8% of revenue</w:t>
      </w:r>
    </w:p>
    <w:p w14:paraId="1F9ACEA2" w14:textId="5C44A451" w:rsidR="005C30E4" w:rsidRPr="0006324D" w:rsidRDefault="00DC3892" w:rsidP="00C959BC">
      <w:pPr>
        <w:rPr>
          <w:rFonts w:ascii="Arial" w:hAnsi="Arial" w:cs="Arial"/>
          <w:color w:val="000000" w:themeColor="text1"/>
          <w:szCs w:val="21"/>
        </w:rPr>
      </w:pPr>
      <w:r w:rsidRPr="0006324D">
        <w:rPr>
          <w:rFonts w:ascii="Arial" w:hAnsi="Arial" w:cs="Arial" w:hint="eastAsia"/>
          <w:color w:val="000000" w:themeColor="text1"/>
          <w:szCs w:val="21"/>
        </w:rPr>
        <w:t>Adjusted EBITDA margin 14.1%</w:t>
      </w:r>
    </w:p>
    <w:p w14:paraId="0CA0A81F" w14:textId="35940DA1" w:rsidR="00DC3892" w:rsidRPr="0006324D" w:rsidRDefault="00DC3892" w:rsidP="00324E88">
      <w:pPr>
        <w:rPr>
          <w:rFonts w:ascii="Arial" w:hAnsi="Arial" w:cs="Arial"/>
          <w:color w:val="000000" w:themeColor="text1"/>
          <w:szCs w:val="21"/>
        </w:rPr>
      </w:pPr>
      <w:r w:rsidRPr="0006324D">
        <w:rPr>
          <w:rFonts w:ascii="Arial" w:hAnsi="Arial" w:cs="Arial" w:hint="eastAsia"/>
          <w:color w:val="000000" w:themeColor="text1"/>
          <w:szCs w:val="21"/>
        </w:rPr>
        <w:t>Backlog $1.86 million</w:t>
      </w:r>
      <w:r w:rsidR="00324E88" w:rsidRPr="0006324D">
        <w:rPr>
          <w:rFonts w:ascii="Arial" w:hAnsi="Arial" w:cs="Arial" w:hint="eastAsia"/>
          <w:color w:val="000000" w:themeColor="text1"/>
          <w:szCs w:val="21"/>
        </w:rPr>
        <w:t xml:space="preserve">, </w:t>
      </w:r>
      <w:r w:rsidR="00324E88" w:rsidRPr="0006324D">
        <w:rPr>
          <w:rFonts w:ascii="Arial" w:hAnsi="Arial" w:cs="Arial"/>
          <w:color w:val="000000" w:themeColor="text1"/>
          <w:szCs w:val="21"/>
        </w:rPr>
        <w:t>80%-85% of next 12 months contract revenue booked in backlog,</w:t>
      </w:r>
      <w:r w:rsidR="00324E88" w:rsidRPr="0006324D">
        <w:rPr>
          <w:rFonts w:ascii="Arial" w:hAnsi="Arial" w:cs="Arial" w:hint="eastAsia"/>
          <w:color w:val="000000" w:themeColor="text1"/>
          <w:szCs w:val="21"/>
        </w:rPr>
        <w:t xml:space="preserve"> </w:t>
      </w:r>
      <w:r w:rsidR="00324E88" w:rsidRPr="0006324D">
        <w:rPr>
          <w:rFonts w:ascii="Arial" w:hAnsi="Arial" w:cs="Arial"/>
          <w:color w:val="000000" w:themeColor="text1"/>
          <w:szCs w:val="21"/>
        </w:rPr>
        <w:t>up from 70%-75% last year</w:t>
      </w:r>
      <w:r w:rsidR="00324E88" w:rsidRPr="0006324D">
        <w:rPr>
          <w:rFonts w:ascii="Arial" w:hAnsi="Arial" w:cs="Arial" w:hint="eastAsia"/>
          <w:color w:val="000000" w:themeColor="text1"/>
          <w:szCs w:val="21"/>
        </w:rPr>
        <w:t xml:space="preserve"> </w:t>
      </w:r>
      <w:r w:rsidR="00605756" w:rsidRPr="0006324D">
        <w:rPr>
          <w:rFonts w:ascii="Arial" w:hAnsi="Arial" w:cs="Arial" w:hint="eastAsia"/>
          <w:color w:val="000000" w:themeColor="text1"/>
          <w:szCs w:val="21"/>
        </w:rPr>
        <w:t>(15 quarters of sequential increase)</w:t>
      </w:r>
    </w:p>
    <w:p w14:paraId="77453DD7" w14:textId="72A40840" w:rsidR="00127F65" w:rsidRDefault="00BF464D" w:rsidP="00C959BC">
      <w:pPr>
        <w:rPr>
          <w:rFonts w:ascii="Arial" w:hAnsi="Arial" w:cs="Arial"/>
          <w:color w:val="000000" w:themeColor="text1"/>
          <w:szCs w:val="21"/>
        </w:rPr>
      </w:pPr>
      <w:r w:rsidRPr="0006324D">
        <w:rPr>
          <w:rFonts w:ascii="Arial" w:hAnsi="Arial" w:cs="Arial" w:hint="eastAsia"/>
          <w:color w:val="000000" w:themeColor="text1"/>
          <w:szCs w:val="21"/>
        </w:rPr>
        <w:t xml:space="preserve">Raise Guidance: </w:t>
      </w:r>
      <w:r w:rsidR="00335319" w:rsidRPr="0006324D">
        <w:rPr>
          <w:rFonts w:ascii="Arial" w:hAnsi="Arial" w:cs="Arial" w:hint="eastAsia"/>
          <w:color w:val="000000" w:themeColor="text1"/>
          <w:szCs w:val="21"/>
        </w:rPr>
        <w:t xml:space="preserve">Rev. $1.835 </w:t>
      </w:r>
      <w:r w:rsidR="00335319" w:rsidRPr="0006324D">
        <w:rPr>
          <w:rFonts w:ascii="Arial" w:hAnsi="Arial" w:cs="Arial"/>
          <w:color w:val="000000" w:themeColor="text1"/>
          <w:szCs w:val="21"/>
        </w:rPr>
        <w:t>–</w:t>
      </w:r>
      <w:r w:rsidR="00335319" w:rsidRPr="0006324D">
        <w:rPr>
          <w:rFonts w:ascii="Arial" w:hAnsi="Arial" w:cs="Arial" w:hint="eastAsia"/>
          <w:color w:val="000000" w:themeColor="text1"/>
          <w:szCs w:val="21"/>
        </w:rPr>
        <w:t xml:space="preserve"> 1.86 bn, </w:t>
      </w:r>
      <w:r w:rsidR="00B94855" w:rsidRPr="0006324D">
        <w:rPr>
          <w:rFonts w:ascii="Arial" w:hAnsi="Arial" w:cs="Arial" w:hint="eastAsia"/>
          <w:color w:val="000000" w:themeColor="text1"/>
          <w:szCs w:val="21"/>
        </w:rPr>
        <w:t xml:space="preserve">Net Income $73.5 </w:t>
      </w:r>
      <w:r w:rsidR="00B94855" w:rsidRPr="0006324D">
        <w:rPr>
          <w:rFonts w:ascii="Arial" w:hAnsi="Arial" w:cs="Arial"/>
          <w:color w:val="000000" w:themeColor="text1"/>
          <w:szCs w:val="21"/>
        </w:rPr>
        <w:t>–</w:t>
      </w:r>
      <w:r w:rsidR="00B94855" w:rsidRPr="0006324D">
        <w:rPr>
          <w:rFonts w:ascii="Arial" w:hAnsi="Arial" w:cs="Arial" w:hint="eastAsia"/>
          <w:color w:val="000000" w:themeColor="text1"/>
          <w:szCs w:val="21"/>
        </w:rPr>
        <w:t xml:space="preserve"> 76 mn, Adj. EBITDA 219-228 mn, Margin 11.9%-12.3%</w:t>
      </w:r>
    </w:p>
    <w:p w14:paraId="09EC202F" w14:textId="3BB26325" w:rsidR="00A56D10" w:rsidRPr="0006324D" w:rsidRDefault="00A56D10" w:rsidP="00C959BC">
      <w:pPr>
        <w:rPr>
          <w:rFonts w:ascii="Arial" w:hAnsi="Arial" w:cs="Arial"/>
          <w:color w:val="000000" w:themeColor="text1"/>
          <w:szCs w:val="21"/>
        </w:rPr>
      </w:pPr>
      <w:r>
        <w:rPr>
          <w:rFonts w:ascii="Arial" w:hAnsi="Arial" w:cs="Arial" w:hint="eastAsia"/>
          <w:color w:val="000000" w:themeColor="text1"/>
          <w:szCs w:val="21"/>
        </w:rPr>
        <w:t xml:space="preserve">Stable </w:t>
      </w:r>
      <w:r w:rsidR="001E37C9">
        <w:rPr>
          <w:rFonts w:ascii="Arial" w:hAnsi="Arial" w:cs="Arial" w:hint="eastAsia"/>
          <w:color w:val="000000" w:themeColor="text1"/>
          <w:szCs w:val="21"/>
        </w:rPr>
        <w:t xml:space="preserve">&amp; Strong </w:t>
      </w:r>
      <w:r>
        <w:rPr>
          <w:rFonts w:ascii="Arial" w:hAnsi="Arial" w:cs="Arial" w:hint="eastAsia"/>
          <w:color w:val="000000" w:themeColor="text1"/>
          <w:szCs w:val="21"/>
        </w:rPr>
        <w:t>economy and demand within the industry</w:t>
      </w:r>
    </w:p>
    <w:p w14:paraId="426E1395" w14:textId="3313E6C6" w:rsidR="0006324D" w:rsidRDefault="004B0B8B" w:rsidP="00C959BC">
      <w:pPr>
        <w:rPr>
          <w:rFonts w:ascii="Arial" w:hAnsi="Arial" w:cs="Arial"/>
          <w:color w:val="000000" w:themeColor="text1"/>
          <w:szCs w:val="21"/>
          <w:u w:val="single"/>
        </w:rPr>
      </w:pPr>
      <w:r>
        <w:rPr>
          <w:rFonts w:ascii="Arial" w:hAnsi="Arial" w:cs="Arial" w:hint="eastAsia"/>
          <w:color w:val="000000" w:themeColor="text1"/>
          <w:szCs w:val="21"/>
        </w:rPr>
        <w:t xml:space="preserve">% of </w:t>
      </w:r>
      <w:r w:rsidR="0006324D">
        <w:rPr>
          <w:rFonts w:ascii="Arial" w:hAnsi="Arial" w:cs="Arial" w:hint="eastAsia"/>
          <w:color w:val="000000" w:themeColor="text1"/>
          <w:szCs w:val="21"/>
        </w:rPr>
        <w:t xml:space="preserve">Public backlog increased from 65% to 67% or 68%. </w:t>
      </w:r>
      <w:r>
        <w:rPr>
          <w:rFonts w:ascii="Arial" w:hAnsi="Arial" w:cs="Arial" w:hint="eastAsia"/>
          <w:color w:val="000000" w:themeColor="text1"/>
          <w:szCs w:val="21"/>
        </w:rPr>
        <w:t xml:space="preserve">IIJA now in full gear, </w:t>
      </w:r>
      <w:r w:rsidR="000D31E4">
        <w:rPr>
          <w:rFonts w:ascii="Arial" w:hAnsi="Arial" w:cs="Arial" w:hint="eastAsia"/>
          <w:color w:val="000000" w:themeColor="text1"/>
          <w:szCs w:val="21"/>
        </w:rPr>
        <w:t xml:space="preserve">as the second year the govt is really using the money. </w:t>
      </w:r>
      <w:r w:rsidR="00220CD9" w:rsidRPr="00220CD9">
        <w:rPr>
          <w:rFonts w:ascii="Arial" w:hAnsi="Arial" w:cs="Arial" w:hint="eastAsia"/>
          <w:color w:val="000000" w:themeColor="text1"/>
          <w:szCs w:val="21"/>
          <w:u w:val="single"/>
        </w:rPr>
        <w:t>Expect this to come through to the P&amp;L in the next 12 months.</w:t>
      </w:r>
    </w:p>
    <w:p w14:paraId="2A39FAF3" w14:textId="5CADA0AD" w:rsidR="00B85C53" w:rsidRDefault="00B85C53" w:rsidP="00C959BC">
      <w:pPr>
        <w:rPr>
          <w:rFonts w:ascii="Arial" w:hAnsi="Arial" w:cs="Arial"/>
          <w:color w:val="000000" w:themeColor="text1"/>
          <w:szCs w:val="21"/>
        </w:rPr>
      </w:pPr>
      <w:r>
        <w:rPr>
          <w:rFonts w:ascii="Arial" w:hAnsi="Arial" w:cs="Arial"/>
          <w:color w:val="000000" w:themeColor="text1"/>
          <w:szCs w:val="21"/>
        </w:rPr>
        <w:t>“</w:t>
      </w:r>
      <w:r>
        <w:rPr>
          <w:rFonts w:ascii="Arial" w:hAnsi="Arial" w:cs="Arial" w:hint="eastAsia"/>
          <w:color w:val="000000" w:themeColor="text1"/>
          <w:szCs w:val="21"/>
        </w:rPr>
        <w:t>won</w:t>
      </w:r>
      <w:r>
        <w:rPr>
          <w:rFonts w:ascii="Arial" w:hAnsi="Arial" w:cs="Arial"/>
          <w:color w:val="000000" w:themeColor="text1"/>
          <w:szCs w:val="21"/>
        </w:rPr>
        <w:t>’</w:t>
      </w:r>
      <w:r>
        <w:rPr>
          <w:rFonts w:ascii="Arial" w:hAnsi="Arial" w:cs="Arial" w:hint="eastAsia"/>
          <w:color w:val="000000" w:themeColor="text1"/>
          <w:szCs w:val="21"/>
        </w:rPr>
        <w:t>t put unannounced M&amp;A into Guidance for FY25.</w:t>
      </w:r>
      <w:r w:rsidR="00F2514C">
        <w:rPr>
          <w:rFonts w:ascii="Arial" w:hAnsi="Arial" w:cs="Arial"/>
          <w:color w:val="000000" w:themeColor="text1"/>
          <w:szCs w:val="21"/>
        </w:rPr>
        <w:t>”</w:t>
      </w:r>
    </w:p>
    <w:p w14:paraId="11131193" w14:textId="62D927F2" w:rsidR="00F2514C" w:rsidRPr="00E54EAF" w:rsidRDefault="00F2514C" w:rsidP="00C959BC">
      <w:pPr>
        <w:rPr>
          <w:rFonts w:ascii="Arial" w:hAnsi="Arial" w:cs="Arial"/>
          <w:color w:val="000000" w:themeColor="text1"/>
          <w:sz w:val="24"/>
          <w:szCs w:val="24"/>
        </w:rPr>
      </w:pPr>
      <w:r w:rsidRPr="00E54EAF">
        <w:rPr>
          <w:rFonts w:ascii="Arial" w:hAnsi="Arial" w:cs="Arial" w:hint="eastAsia"/>
          <w:color w:val="000000" w:themeColor="text1"/>
          <w:sz w:val="24"/>
          <w:szCs w:val="24"/>
        </w:rPr>
        <w:t xml:space="preserve">Three </w:t>
      </w:r>
      <w:r w:rsidR="00A76AFA" w:rsidRPr="00E54EAF">
        <w:rPr>
          <w:rFonts w:ascii="Arial" w:hAnsi="Arial" w:cs="Arial" w:hint="eastAsia"/>
          <w:color w:val="000000" w:themeColor="text1"/>
          <w:sz w:val="24"/>
          <w:szCs w:val="24"/>
        </w:rPr>
        <w:t>Levers of Margin Expansion</w:t>
      </w:r>
      <w:r w:rsidR="00A178EA" w:rsidRPr="00E54EAF">
        <w:rPr>
          <w:rFonts w:ascii="Arial" w:hAnsi="Arial" w:cs="Arial" w:hint="eastAsia"/>
          <w:color w:val="000000" w:themeColor="text1"/>
          <w:sz w:val="24"/>
          <w:szCs w:val="24"/>
        </w:rPr>
        <w:t>:</w:t>
      </w:r>
    </w:p>
    <w:p w14:paraId="4E887B0D" w14:textId="425C7E95" w:rsidR="00A178EA" w:rsidRDefault="00A178EA" w:rsidP="00A178EA">
      <w:pPr>
        <w:pStyle w:val="ListParagraph"/>
        <w:numPr>
          <w:ilvl w:val="0"/>
          <w:numId w:val="8"/>
        </w:numPr>
        <w:rPr>
          <w:rFonts w:ascii="Arial" w:hAnsi="Arial" w:cs="Arial"/>
          <w:color w:val="000000" w:themeColor="text1"/>
          <w:szCs w:val="21"/>
        </w:rPr>
      </w:pPr>
      <w:r>
        <w:rPr>
          <w:rFonts w:ascii="Arial" w:hAnsi="Arial" w:cs="Arial"/>
          <w:color w:val="000000" w:themeColor="text1"/>
          <w:szCs w:val="21"/>
        </w:rPr>
        <w:t>B</w:t>
      </w:r>
      <w:r>
        <w:rPr>
          <w:rFonts w:ascii="Arial" w:hAnsi="Arial" w:cs="Arial" w:hint="eastAsia"/>
          <w:color w:val="000000" w:themeColor="text1"/>
          <w:szCs w:val="21"/>
        </w:rPr>
        <w:t>uild better market &amp; able to put more money on the bids</w:t>
      </w:r>
      <w:r w:rsidR="00E54EAF">
        <w:rPr>
          <w:rFonts w:ascii="Arial" w:hAnsi="Arial" w:cs="Arial" w:hint="eastAsia"/>
          <w:color w:val="000000" w:themeColor="text1"/>
          <w:szCs w:val="21"/>
        </w:rPr>
        <w:t xml:space="preserve"> (patience at the bidding </w:t>
      </w:r>
      <w:r w:rsidR="00E54EAF">
        <w:rPr>
          <w:rFonts w:ascii="Arial" w:hAnsi="Arial" w:cs="Arial" w:hint="eastAsia"/>
          <w:color w:val="000000" w:themeColor="text1"/>
          <w:szCs w:val="21"/>
        </w:rPr>
        <w:lastRenderedPageBreak/>
        <w:t xml:space="preserve">table, mentioned when </w:t>
      </w:r>
      <w:r w:rsidR="00D42F7B">
        <w:rPr>
          <w:rFonts w:ascii="Arial" w:hAnsi="Arial" w:cs="Arial"/>
          <w:color w:val="000000" w:themeColor="text1"/>
          <w:szCs w:val="21"/>
        </w:rPr>
        <w:t>having</w:t>
      </w:r>
      <w:r w:rsidR="00E54EAF">
        <w:rPr>
          <w:rFonts w:ascii="Arial" w:hAnsi="Arial" w:cs="Arial" w:hint="eastAsia"/>
          <w:color w:val="000000" w:themeColor="text1"/>
          <w:szCs w:val="21"/>
        </w:rPr>
        <w:t xml:space="preserve"> more </w:t>
      </w:r>
      <w:r w:rsidR="00BC2EEB">
        <w:rPr>
          <w:rFonts w:ascii="Arial" w:hAnsi="Arial" w:cs="Arial" w:hint="eastAsia"/>
          <w:color w:val="000000" w:themeColor="text1"/>
          <w:szCs w:val="21"/>
        </w:rPr>
        <w:t>% of revenue built into backlog</w:t>
      </w:r>
      <w:r w:rsidR="00D42F7B">
        <w:rPr>
          <w:rFonts w:ascii="Arial" w:hAnsi="Arial" w:cs="Arial" w:hint="eastAsia"/>
          <w:color w:val="000000" w:themeColor="text1"/>
          <w:szCs w:val="21"/>
        </w:rPr>
        <w:t>)</w:t>
      </w:r>
    </w:p>
    <w:p w14:paraId="3D89E0BE" w14:textId="3841BE19" w:rsidR="00A178EA" w:rsidRDefault="00730CD8" w:rsidP="00A178EA">
      <w:pPr>
        <w:pStyle w:val="ListParagraph"/>
        <w:numPr>
          <w:ilvl w:val="0"/>
          <w:numId w:val="8"/>
        </w:numPr>
        <w:rPr>
          <w:rFonts w:ascii="Arial" w:hAnsi="Arial" w:cs="Arial"/>
          <w:color w:val="000000" w:themeColor="text1"/>
          <w:szCs w:val="21"/>
        </w:rPr>
      </w:pPr>
      <w:r>
        <w:rPr>
          <w:rFonts w:ascii="Arial" w:hAnsi="Arial" w:cs="Arial" w:hint="eastAsia"/>
          <w:color w:val="000000" w:themeColor="text1"/>
          <w:szCs w:val="21"/>
        </w:rPr>
        <w:t>Vertical integration</w:t>
      </w:r>
    </w:p>
    <w:p w14:paraId="2258B25E" w14:textId="4A845E59" w:rsidR="00C14B7E" w:rsidRDefault="00C14B7E" w:rsidP="00A178EA">
      <w:pPr>
        <w:pStyle w:val="ListParagraph"/>
        <w:numPr>
          <w:ilvl w:val="0"/>
          <w:numId w:val="8"/>
        </w:numPr>
        <w:rPr>
          <w:rFonts w:ascii="Arial" w:hAnsi="Arial" w:cs="Arial"/>
          <w:color w:val="000000" w:themeColor="text1"/>
          <w:szCs w:val="21"/>
        </w:rPr>
      </w:pPr>
      <w:r>
        <w:rPr>
          <w:rFonts w:ascii="Arial" w:hAnsi="Arial" w:cs="Arial" w:hint="eastAsia"/>
          <w:color w:val="000000" w:themeColor="text1"/>
          <w:szCs w:val="21"/>
        </w:rPr>
        <w:t>Scale</w:t>
      </w:r>
    </w:p>
    <w:p w14:paraId="32D435A0" w14:textId="14E7C80F" w:rsidR="00C14B7E" w:rsidRDefault="00C14B7E" w:rsidP="00C14B7E">
      <w:pPr>
        <w:rPr>
          <w:rFonts w:ascii="Arial" w:hAnsi="Arial" w:cs="Arial"/>
          <w:color w:val="000000" w:themeColor="text1"/>
          <w:szCs w:val="21"/>
        </w:rPr>
      </w:pPr>
      <w:r>
        <w:rPr>
          <w:rFonts w:ascii="Arial" w:hAnsi="Arial" w:cs="Arial" w:hint="eastAsia"/>
          <w:color w:val="000000" w:themeColor="text1"/>
          <w:szCs w:val="21"/>
        </w:rPr>
        <w:t xml:space="preserve">All </w:t>
      </w:r>
      <w:r>
        <w:rPr>
          <w:rFonts w:ascii="Arial" w:hAnsi="Arial" w:cs="Arial"/>
          <w:color w:val="000000" w:themeColor="text1"/>
          <w:szCs w:val="21"/>
        </w:rPr>
        <w:t>three</w:t>
      </w:r>
      <w:r>
        <w:rPr>
          <w:rFonts w:ascii="Arial" w:hAnsi="Arial" w:cs="Arial" w:hint="eastAsia"/>
          <w:color w:val="000000" w:themeColor="text1"/>
          <w:szCs w:val="21"/>
        </w:rPr>
        <w:t xml:space="preserve"> are contributing &amp; working together</w:t>
      </w:r>
    </w:p>
    <w:p w14:paraId="1E6457F5" w14:textId="37EB63D8" w:rsidR="001D5B6A" w:rsidRDefault="00CD7ED0" w:rsidP="00C14B7E">
      <w:pPr>
        <w:rPr>
          <w:rFonts w:ascii="Arial" w:hAnsi="Arial" w:cs="Arial"/>
          <w:color w:val="000000" w:themeColor="text1"/>
          <w:szCs w:val="21"/>
        </w:rPr>
      </w:pPr>
      <w:r>
        <w:rPr>
          <w:rFonts w:ascii="Arial" w:hAnsi="Arial" w:cs="Arial" w:hint="eastAsia"/>
          <w:color w:val="000000" w:themeColor="text1"/>
          <w:szCs w:val="21"/>
        </w:rPr>
        <w:t>People matters much more than machines in raising productivity</w:t>
      </w:r>
    </w:p>
    <w:p w14:paraId="3C310D38" w14:textId="3A8DE7B2" w:rsidR="00CD7ED0" w:rsidRDefault="001F50EF" w:rsidP="00C14B7E">
      <w:pPr>
        <w:rPr>
          <w:rFonts w:ascii="Arial" w:hAnsi="Arial" w:cs="Arial"/>
          <w:color w:val="000000" w:themeColor="text1"/>
          <w:szCs w:val="21"/>
        </w:rPr>
      </w:pPr>
      <w:r>
        <w:rPr>
          <w:rFonts w:ascii="Arial" w:hAnsi="Arial" w:cs="Arial" w:hint="eastAsia"/>
          <w:color w:val="000000" w:themeColor="text1"/>
          <w:szCs w:val="21"/>
        </w:rPr>
        <w:t>Not being worried too much about slowdown in private (which has not seen any slowdown) if slowdown, just shift to public</w:t>
      </w:r>
    </w:p>
    <w:p w14:paraId="25227D75" w14:textId="02D2094B" w:rsidR="00597A17" w:rsidRPr="001F50EF" w:rsidRDefault="00597A17" w:rsidP="00C14B7E">
      <w:pPr>
        <w:rPr>
          <w:rFonts w:ascii="Arial" w:hAnsi="Arial" w:cs="Arial"/>
          <w:color w:val="000000" w:themeColor="text1"/>
          <w:szCs w:val="21"/>
        </w:rPr>
      </w:pPr>
      <w:r>
        <w:rPr>
          <w:rFonts w:ascii="Arial" w:hAnsi="Arial" w:cs="Arial" w:hint="eastAsia"/>
          <w:color w:val="000000" w:themeColor="text1"/>
          <w:szCs w:val="21"/>
        </w:rPr>
        <w:t>Participating megaprojects as subcontractor (those that come with IIJA)</w:t>
      </w:r>
    </w:p>
    <w:sectPr w:rsidR="00597A17" w:rsidRPr="001F50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53F87" w14:textId="77777777" w:rsidR="003C426D" w:rsidRDefault="003C426D" w:rsidP="00127F65">
      <w:r>
        <w:separator/>
      </w:r>
    </w:p>
  </w:endnote>
  <w:endnote w:type="continuationSeparator" w:id="0">
    <w:p w14:paraId="37B1B277" w14:textId="77777777" w:rsidR="003C426D" w:rsidRDefault="003C426D" w:rsidP="0012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6AF3D" w14:textId="77777777" w:rsidR="003C426D" w:rsidRDefault="003C426D" w:rsidP="00127F65">
      <w:r>
        <w:separator/>
      </w:r>
    </w:p>
  </w:footnote>
  <w:footnote w:type="continuationSeparator" w:id="0">
    <w:p w14:paraId="27B8DDF8" w14:textId="77777777" w:rsidR="003C426D" w:rsidRDefault="003C426D" w:rsidP="00127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0A5"/>
    <w:multiLevelType w:val="hybridMultilevel"/>
    <w:tmpl w:val="C18A7E62"/>
    <w:lvl w:ilvl="0" w:tplc="1558295A">
      <w:start w:val="2023"/>
      <w:numFmt w:val="bullet"/>
      <w:lvlText w:val="-"/>
      <w:lvlJc w:val="left"/>
      <w:pPr>
        <w:ind w:left="1560" w:hanging="360"/>
      </w:pPr>
      <w:rPr>
        <w:rFonts w:ascii="Times New Roman" w:eastAsiaTheme="minorEastAsia" w:hAnsi="Times New Roman" w:cs="Times New Roman" w:hint="default"/>
        <w:color w:val="000000"/>
        <w:sz w:val="20"/>
      </w:rPr>
    </w:lvl>
    <w:lvl w:ilvl="1" w:tplc="04090003" w:tentative="1">
      <w:start w:val="1"/>
      <w:numFmt w:val="bullet"/>
      <w:lvlText w:val=""/>
      <w:lvlJc w:val="left"/>
      <w:pPr>
        <w:ind w:left="2080" w:hanging="440"/>
      </w:pPr>
      <w:rPr>
        <w:rFonts w:ascii="Wingdings" w:hAnsi="Wingdings" w:hint="default"/>
      </w:rPr>
    </w:lvl>
    <w:lvl w:ilvl="2" w:tplc="04090005"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3" w:tentative="1">
      <w:start w:val="1"/>
      <w:numFmt w:val="bullet"/>
      <w:lvlText w:val=""/>
      <w:lvlJc w:val="left"/>
      <w:pPr>
        <w:ind w:left="3400" w:hanging="440"/>
      </w:pPr>
      <w:rPr>
        <w:rFonts w:ascii="Wingdings" w:hAnsi="Wingdings" w:hint="default"/>
      </w:rPr>
    </w:lvl>
    <w:lvl w:ilvl="5" w:tplc="04090005"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3" w:tentative="1">
      <w:start w:val="1"/>
      <w:numFmt w:val="bullet"/>
      <w:lvlText w:val=""/>
      <w:lvlJc w:val="left"/>
      <w:pPr>
        <w:ind w:left="4720" w:hanging="440"/>
      </w:pPr>
      <w:rPr>
        <w:rFonts w:ascii="Wingdings" w:hAnsi="Wingdings" w:hint="default"/>
      </w:rPr>
    </w:lvl>
    <w:lvl w:ilvl="8" w:tplc="04090005" w:tentative="1">
      <w:start w:val="1"/>
      <w:numFmt w:val="bullet"/>
      <w:lvlText w:val=""/>
      <w:lvlJc w:val="left"/>
      <w:pPr>
        <w:ind w:left="5160" w:hanging="440"/>
      </w:pPr>
      <w:rPr>
        <w:rFonts w:ascii="Wingdings" w:hAnsi="Wingdings" w:hint="default"/>
      </w:rPr>
    </w:lvl>
  </w:abstractNum>
  <w:abstractNum w:abstractNumId="1" w15:restartNumberingAfterBreak="0">
    <w:nsid w:val="004F10BC"/>
    <w:multiLevelType w:val="hybridMultilevel"/>
    <w:tmpl w:val="EB58472E"/>
    <w:lvl w:ilvl="0" w:tplc="9A54F1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1101DD"/>
    <w:multiLevelType w:val="hybridMultilevel"/>
    <w:tmpl w:val="33546D00"/>
    <w:lvl w:ilvl="0" w:tplc="D3D4F80A">
      <w:start w:val="1"/>
      <w:numFmt w:val="bullet"/>
      <w:lvlText w:val="·"/>
      <w:lvlJc w:val="left"/>
      <w:pPr>
        <w:ind w:left="360" w:hanging="360"/>
      </w:pPr>
      <w:rPr>
        <w:rFonts w:ascii="等线" w:eastAsia="等线" w:hAnsi="等线" w:cs="Arial"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357249F"/>
    <w:multiLevelType w:val="hybridMultilevel"/>
    <w:tmpl w:val="85581DCA"/>
    <w:lvl w:ilvl="0" w:tplc="ABDA4C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24717D2"/>
    <w:multiLevelType w:val="hybridMultilevel"/>
    <w:tmpl w:val="98D81B72"/>
    <w:lvl w:ilvl="0" w:tplc="96082C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EE2354E"/>
    <w:multiLevelType w:val="hybridMultilevel"/>
    <w:tmpl w:val="C99ACB64"/>
    <w:lvl w:ilvl="0" w:tplc="E2D001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9A16C69"/>
    <w:multiLevelType w:val="hybridMultilevel"/>
    <w:tmpl w:val="5862297A"/>
    <w:lvl w:ilvl="0" w:tplc="985CA4AE">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69C50661"/>
    <w:multiLevelType w:val="hybridMultilevel"/>
    <w:tmpl w:val="3BCC5F9E"/>
    <w:lvl w:ilvl="0" w:tplc="EC923A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00161889">
    <w:abstractNumId w:val="1"/>
  </w:num>
  <w:num w:numId="2" w16cid:durableId="101538039">
    <w:abstractNumId w:val="4"/>
  </w:num>
  <w:num w:numId="3" w16cid:durableId="2030445449">
    <w:abstractNumId w:val="0"/>
  </w:num>
  <w:num w:numId="4" w16cid:durableId="1690597032">
    <w:abstractNumId w:val="3"/>
  </w:num>
  <w:num w:numId="5" w16cid:durableId="897086618">
    <w:abstractNumId w:val="7"/>
  </w:num>
  <w:num w:numId="6" w16cid:durableId="1530676817">
    <w:abstractNumId w:val="6"/>
  </w:num>
  <w:num w:numId="7" w16cid:durableId="719478385">
    <w:abstractNumId w:val="2"/>
  </w:num>
  <w:num w:numId="8" w16cid:durableId="109196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A9"/>
    <w:rsid w:val="0006324D"/>
    <w:rsid w:val="000C5B82"/>
    <w:rsid w:val="000C7410"/>
    <w:rsid w:val="000D195D"/>
    <w:rsid w:val="000D31E4"/>
    <w:rsid w:val="00111D64"/>
    <w:rsid w:val="00127F65"/>
    <w:rsid w:val="00147DE0"/>
    <w:rsid w:val="0017004D"/>
    <w:rsid w:val="001B2812"/>
    <w:rsid w:val="001B44FA"/>
    <w:rsid w:val="001D5B6A"/>
    <w:rsid w:val="001E37C9"/>
    <w:rsid w:val="001F50EF"/>
    <w:rsid w:val="00203A4E"/>
    <w:rsid w:val="00220CD9"/>
    <w:rsid w:val="00246909"/>
    <w:rsid w:val="002A5ADA"/>
    <w:rsid w:val="002D581B"/>
    <w:rsid w:val="002F5C2E"/>
    <w:rsid w:val="00324E88"/>
    <w:rsid w:val="00335319"/>
    <w:rsid w:val="00383125"/>
    <w:rsid w:val="003A5156"/>
    <w:rsid w:val="003B70A9"/>
    <w:rsid w:val="003C426D"/>
    <w:rsid w:val="003C6856"/>
    <w:rsid w:val="00491BF4"/>
    <w:rsid w:val="004A337D"/>
    <w:rsid w:val="004B0B8B"/>
    <w:rsid w:val="004C23C0"/>
    <w:rsid w:val="004E2334"/>
    <w:rsid w:val="005010E2"/>
    <w:rsid w:val="00562C2B"/>
    <w:rsid w:val="00597A17"/>
    <w:rsid w:val="005B7046"/>
    <w:rsid w:val="005C19F6"/>
    <w:rsid w:val="005C30E4"/>
    <w:rsid w:val="00605756"/>
    <w:rsid w:val="00610DBB"/>
    <w:rsid w:val="006314BF"/>
    <w:rsid w:val="006448C1"/>
    <w:rsid w:val="00661D54"/>
    <w:rsid w:val="006632E7"/>
    <w:rsid w:val="00681446"/>
    <w:rsid w:val="006857F9"/>
    <w:rsid w:val="00694AFC"/>
    <w:rsid w:val="006A35BA"/>
    <w:rsid w:val="006C39DE"/>
    <w:rsid w:val="006C6F27"/>
    <w:rsid w:val="006D7D66"/>
    <w:rsid w:val="006E077D"/>
    <w:rsid w:val="00730CD8"/>
    <w:rsid w:val="007844F2"/>
    <w:rsid w:val="007A5329"/>
    <w:rsid w:val="007C2A3C"/>
    <w:rsid w:val="007D361B"/>
    <w:rsid w:val="00830E66"/>
    <w:rsid w:val="008D64BF"/>
    <w:rsid w:val="008E6C10"/>
    <w:rsid w:val="008F52E4"/>
    <w:rsid w:val="00910F49"/>
    <w:rsid w:val="009C2796"/>
    <w:rsid w:val="009C2954"/>
    <w:rsid w:val="00A12539"/>
    <w:rsid w:val="00A178EA"/>
    <w:rsid w:val="00A4095F"/>
    <w:rsid w:val="00A56D10"/>
    <w:rsid w:val="00A76AFA"/>
    <w:rsid w:val="00AB1603"/>
    <w:rsid w:val="00AD18E2"/>
    <w:rsid w:val="00B03055"/>
    <w:rsid w:val="00B67868"/>
    <w:rsid w:val="00B82661"/>
    <w:rsid w:val="00B85C53"/>
    <w:rsid w:val="00B9083E"/>
    <w:rsid w:val="00B94855"/>
    <w:rsid w:val="00BC2EEB"/>
    <w:rsid w:val="00BF464D"/>
    <w:rsid w:val="00C14B7E"/>
    <w:rsid w:val="00C20AEC"/>
    <w:rsid w:val="00C54C36"/>
    <w:rsid w:val="00C72E0F"/>
    <w:rsid w:val="00C959BC"/>
    <w:rsid w:val="00CA0E47"/>
    <w:rsid w:val="00CD7ED0"/>
    <w:rsid w:val="00CF1F22"/>
    <w:rsid w:val="00D32557"/>
    <w:rsid w:val="00D42F7B"/>
    <w:rsid w:val="00D81194"/>
    <w:rsid w:val="00DA2B53"/>
    <w:rsid w:val="00DB2E30"/>
    <w:rsid w:val="00DC3892"/>
    <w:rsid w:val="00E4398B"/>
    <w:rsid w:val="00E54EAF"/>
    <w:rsid w:val="00E76528"/>
    <w:rsid w:val="00EC4142"/>
    <w:rsid w:val="00ED49CB"/>
    <w:rsid w:val="00EF2C81"/>
    <w:rsid w:val="00F029E9"/>
    <w:rsid w:val="00F2514C"/>
    <w:rsid w:val="00F6146E"/>
    <w:rsid w:val="00F76BB7"/>
    <w:rsid w:val="00F8440D"/>
    <w:rsid w:val="00FC0241"/>
    <w:rsid w:val="00FD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6F6F4"/>
  <w15:chartTrackingRefBased/>
  <w15:docId w15:val="{53466D26-2D98-4059-BA4A-766DB61E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B70A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3B70A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3B70A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3B70A9"/>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3B70A9"/>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B70A9"/>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3B70A9"/>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3B70A9"/>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3B70A9"/>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0A9"/>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3B70A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B70A9"/>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3B70A9"/>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3B70A9"/>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3B70A9"/>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3B70A9"/>
    <w:rPr>
      <w:rFonts w:cstheme="majorBidi"/>
      <w:b/>
      <w:bCs/>
      <w:color w:val="595959" w:themeColor="text1" w:themeTint="A6"/>
    </w:rPr>
  </w:style>
  <w:style w:type="character" w:customStyle="1" w:styleId="Heading8Char">
    <w:name w:val="Heading 8 Char"/>
    <w:basedOn w:val="DefaultParagraphFont"/>
    <w:link w:val="Heading8"/>
    <w:uiPriority w:val="9"/>
    <w:semiHidden/>
    <w:rsid w:val="003B70A9"/>
    <w:rPr>
      <w:rFonts w:cstheme="majorBidi"/>
      <w:color w:val="595959" w:themeColor="text1" w:themeTint="A6"/>
    </w:rPr>
  </w:style>
  <w:style w:type="character" w:customStyle="1" w:styleId="Heading9Char">
    <w:name w:val="Heading 9 Char"/>
    <w:basedOn w:val="DefaultParagraphFont"/>
    <w:link w:val="Heading9"/>
    <w:uiPriority w:val="9"/>
    <w:semiHidden/>
    <w:rsid w:val="003B70A9"/>
    <w:rPr>
      <w:rFonts w:eastAsiaTheme="majorEastAsia" w:cstheme="majorBidi"/>
      <w:color w:val="595959" w:themeColor="text1" w:themeTint="A6"/>
    </w:rPr>
  </w:style>
  <w:style w:type="paragraph" w:styleId="Title">
    <w:name w:val="Title"/>
    <w:basedOn w:val="Normal"/>
    <w:next w:val="Normal"/>
    <w:link w:val="TitleChar"/>
    <w:uiPriority w:val="10"/>
    <w:qFormat/>
    <w:rsid w:val="003B70A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0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0A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B70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0A9"/>
    <w:rPr>
      <w:i/>
      <w:iCs/>
      <w:color w:val="404040" w:themeColor="text1" w:themeTint="BF"/>
    </w:rPr>
  </w:style>
  <w:style w:type="paragraph" w:styleId="ListParagraph">
    <w:name w:val="List Paragraph"/>
    <w:basedOn w:val="Normal"/>
    <w:uiPriority w:val="34"/>
    <w:qFormat/>
    <w:rsid w:val="003B70A9"/>
    <w:pPr>
      <w:ind w:left="720"/>
      <w:contextualSpacing/>
    </w:pPr>
  </w:style>
  <w:style w:type="character" w:styleId="IntenseEmphasis">
    <w:name w:val="Intense Emphasis"/>
    <w:basedOn w:val="DefaultParagraphFont"/>
    <w:uiPriority w:val="21"/>
    <w:qFormat/>
    <w:rsid w:val="003B70A9"/>
    <w:rPr>
      <w:i/>
      <w:iCs/>
      <w:color w:val="0F4761" w:themeColor="accent1" w:themeShade="BF"/>
    </w:rPr>
  </w:style>
  <w:style w:type="paragraph" w:styleId="IntenseQuote">
    <w:name w:val="Intense Quote"/>
    <w:basedOn w:val="Normal"/>
    <w:next w:val="Normal"/>
    <w:link w:val="IntenseQuoteChar"/>
    <w:uiPriority w:val="30"/>
    <w:qFormat/>
    <w:rsid w:val="003B7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0A9"/>
    <w:rPr>
      <w:i/>
      <w:iCs/>
      <w:color w:val="0F4761" w:themeColor="accent1" w:themeShade="BF"/>
    </w:rPr>
  </w:style>
  <w:style w:type="character" w:styleId="IntenseReference">
    <w:name w:val="Intense Reference"/>
    <w:basedOn w:val="DefaultParagraphFont"/>
    <w:uiPriority w:val="32"/>
    <w:qFormat/>
    <w:rsid w:val="003B70A9"/>
    <w:rPr>
      <w:b/>
      <w:bCs/>
      <w:smallCaps/>
      <w:color w:val="0F4761" w:themeColor="accent1" w:themeShade="BF"/>
      <w:spacing w:val="5"/>
    </w:rPr>
  </w:style>
  <w:style w:type="paragraph" w:styleId="Header">
    <w:name w:val="header"/>
    <w:basedOn w:val="Normal"/>
    <w:link w:val="HeaderChar"/>
    <w:uiPriority w:val="99"/>
    <w:unhideWhenUsed/>
    <w:rsid w:val="00127F6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27F65"/>
    <w:rPr>
      <w:sz w:val="18"/>
      <w:szCs w:val="18"/>
    </w:rPr>
  </w:style>
  <w:style w:type="paragraph" w:styleId="Footer">
    <w:name w:val="footer"/>
    <w:basedOn w:val="Normal"/>
    <w:link w:val="FooterChar"/>
    <w:uiPriority w:val="99"/>
    <w:unhideWhenUsed/>
    <w:rsid w:val="00127F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27F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6122</Characters>
  <Application>Microsoft Office Word</Application>
  <DocSecurity>0</DocSecurity>
  <Lines>142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瑞泽 夏</dc:creator>
  <cp:keywords/>
  <dc:description/>
  <cp:lastModifiedBy>瑞泽 夏</cp:lastModifiedBy>
  <cp:revision>2</cp:revision>
  <dcterms:created xsi:type="dcterms:W3CDTF">2024-10-11T06:03:00Z</dcterms:created>
  <dcterms:modified xsi:type="dcterms:W3CDTF">2024-10-11T06:03:00Z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66ae0e29-cf77-4b0e-914f-2240a4fb97b1</vt:lpwstr>
  </property>
</Properties>
</file>